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BB5" w:rsidRDefault="00A37BB5" w:rsidP="00A37BB5">
      <w:pPr>
        <w:spacing w:after="0" w:line="240" w:lineRule="auto"/>
        <w:jc w:val="center"/>
      </w:pPr>
      <w:r>
        <w:t>Pacific Lutheran University</w:t>
      </w:r>
    </w:p>
    <w:p w:rsidR="00A37BB5" w:rsidRDefault="00A37BB5" w:rsidP="00A37BB5">
      <w:pPr>
        <w:spacing w:after="0" w:line="240" w:lineRule="auto"/>
        <w:jc w:val="center"/>
      </w:pPr>
      <w:r>
        <w:t>Catalog 2015-16</w:t>
      </w:r>
    </w:p>
    <w:p w:rsidR="00A37BB5" w:rsidRDefault="00A37BB5" w:rsidP="00A37BB5">
      <w:pPr>
        <w:spacing w:after="0" w:line="240" w:lineRule="auto"/>
        <w:jc w:val="center"/>
      </w:pPr>
      <w:r>
        <w:t>Clarifications as of November 1, 2015</w:t>
      </w:r>
    </w:p>
    <w:p w:rsidR="0020180E" w:rsidRPr="0020180E" w:rsidRDefault="0020180E" w:rsidP="00C8188E">
      <w:pPr>
        <w:spacing w:after="0" w:line="240" w:lineRule="auto"/>
      </w:pPr>
      <w:r>
        <w:t>________________________________________________________________________________</w:t>
      </w:r>
    </w:p>
    <w:p w:rsidR="00B00F38" w:rsidRDefault="00B00F38" w:rsidP="00B00F38">
      <w:pPr>
        <w:spacing w:after="0" w:line="240" w:lineRule="auto"/>
        <w:rPr>
          <w:rFonts w:asciiTheme="majorHAnsi" w:eastAsia="Times New Roman" w:hAnsiTheme="majorHAnsi" w:cs="Times New Roman"/>
          <w:b/>
          <w:bCs/>
          <w:color w:val="333333"/>
          <w:sz w:val="20"/>
          <w:szCs w:val="20"/>
          <w:shd w:val="clear" w:color="auto" w:fill="FFFFFF"/>
        </w:rPr>
      </w:pPr>
      <w:r>
        <w:rPr>
          <w:rFonts w:asciiTheme="majorHAnsi" w:eastAsia="Times New Roman" w:hAnsiTheme="majorHAnsi" w:cs="Times New Roman"/>
          <w:b/>
          <w:bCs/>
          <w:color w:val="333333"/>
          <w:sz w:val="20"/>
          <w:szCs w:val="20"/>
          <w:shd w:val="clear" w:color="auto" w:fill="FFFFFF"/>
        </w:rPr>
        <w:t>Errata are in bold</w:t>
      </w:r>
      <w:r w:rsidR="0027076A">
        <w:rPr>
          <w:rFonts w:asciiTheme="majorHAnsi" w:eastAsia="Times New Roman" w:hAnsiTheme="majorHAnsi" w:cs="Times New Roman"/>
          <w:b/>
          <w:bCs/>
          <w:color w:val="333333"/>
          <w:sz w:val="20"/>
          <w:szCs w:val="20"/>
          <w:shd w:val="clear" w:color="auto" w:fill="FFFFFF"/>
        </w:rPr>
        <w:t xml:space="preserve"> and/or strikethroughs</w:t>
      </w:r>
    </w:p>
    <w:p w:rsidR="00B00F38" w:rsidRDefault="00B00F38" w:rsidP="00B00F38">
      <w:pPr>
        <w:spacing w:after="0" w:line="240" w:lineRule="auto"/>
        <w:rPr>
          <w:rFonts w:asciiTheme="majorHAnsi" w:eastAsia="Times New Roman" w:hAnsiTheme="majorHAnsi" w:cs="Times New Roman"/>
          <w:b/>
          <w:bCs/>
          <w:color w:val="333333"/>
          <w:sz w:val="20"/>
          <w:szCs w:val="20"/>
          <w:shd w:val="clear" w:color="auto" w:fill="FFFFFF"/>
        </w:rPr>
      </w:pPr>
    </w:p>
    <w:p w:rsidR="00B00F38" w:rsidRPr="006A6E90" w:rsidRDefault="00B00F38" w:rsidP="00B00F38">
      <w:pPr>
        <w:spacing w:after="0" w:line="240" w:lineRule="auto"/>
        <w:rPr>
          <w:rFonts w:asciiTheme="majorHAnsi" w:eastAsia="Times New Roman" w:hAnsiTheme="majorHAnsi" w:cs="Times New Roman"/>
          <w:b/>
          <w:bCs/>
          <w:color w:val="333333"/>
          <w:sz w:val="20"/>
          <w:szCs w:val="20"/>
          <w:u w:val="single"/>
          <w:shd w:val="clear" w:color="auto" w:fill="FFFFFF"/>
        </w:rPr>
      </w:pPr>
      <w:r w:rsidRPr="006A6E90">
        <w:rPr>
          <w:rFonts w:asciiTheme="majorHAnsi" w:eastAsia="Times New Roman" w:hAnsiTheme="majorHAnsi" w:cs="Times New Roman"/>
          <w:b/>
          <w:bCs/>
          <w:color w:val="333333"/>
          <w:sz w:val="20"/>
          <w:szCs w:val="20"/>
          <w:u w:val="single"/>
          <w:shd w:val="clear" w:color="auto" w:fill="FFFFFF"/>
        </w:rPr>
        <w:t>FRENCH</w:t>
      </w:r>
      <w:r w:rsidRPr="006A6E90">
        <w:rPr>
          <w:rFonts w:asciiTheme="majorHAnsi" w:eastAsia="Times New Roman" w:hAnsiTheme="majorHAnsi" w:cs="Times New Roman"/>
          <w:b/>
          <w:bCs/>
          <w:color w:val="333333"/>
          <w:sz w:val="20"/>
          <w:szCs w:val="20"/>
          <w:u w:val="single"/>
          <w:shd w:val="clear" w:color="auto" w:fill="FFFFFF"/>
        </w:rPr>
        <w:br/>
      </w:r>
    </w:p>
    <w:p w:rsidR="00B00F38" w:rsidRPr="006A6E90" w:rsidRDefault="00B00F38" w:rsidP="00B00F38">
      <w:pPr>
        <w:spacing w:after="0" w:line="240" w:lineRule="auto"/>
        <w:rPr>
          <w:rFonts w:asciiTheme="majorHAnsi" w:eastAsia="Times New Roman" w:hAnsiTheme="majorHAnsi" w:cs="Times New Roman"/>
          <w:i/>
          <w:iCs/>
          <w:color w:val="333333"/>
          <w:sz w:val="20"/>
          <w:szCs w:val="20"/>
        </w:rPr>
      </w:pPr>
      <w:r w:rsidRPr="006A6E90">
        <w:rPr>
          <w:rFonts w:asciiTheme="majorHAnsi" w:eastAsia="Times New Roman" w:hAnsiTheme="majorHAnsi" w:cs="Times New Roman"/>
          <w:bCs/>
          <w:color w:val="333333"/>
          <w:sz w:val="20"/>
          <w:szCs w:val="20"/>
        </w:rPr>
        <w:t>Major in French</w:t>
      </w:r>
      <w:r w:rsidRPr="006A6E90">
        <w:rPr>
          <w:rFonts w:asciiTheme="majorHAnsi" w:eastAsia="Times New Roman" w:hAnsiTheme="majorHAnsi" w:cs="Times New Roman"/>
          <w:color w:val="333333"/>
          <w:sz w:val="20"/>
          <w:szCs w:val="20"/>
        </w:rPr>
        <w:br/>
      </w:r>
      <w:proofErr w:type="gramStart"/>
      <w:r w:rsidRPr="006A6E90">
        <w:rPr>
          <w:rFonts w:asciiTheme="majorHAnsi" w:eastAsia="Times New Roman" w:hAnsiTheme="majorHAnsi" w:cs="Times New Roman"/>
          <w:i/>
          <w:iCs/>
          <w:color w:val="333333"/>
          <w:sz w:val="20"/>
          <w:szCs w:val="20"/>
        </w:rPr>
        <w:t>A</w:t>
      </w:r>
      <w:proofErr w:type="gramEnd"/>
      <w:r w:rsidRPr="006A6E90">
        <w:rPr>
          <w:rFonts w:asciiTheme="majorHAnsi" w:eastAsia="Times New Roman" w:hAnsiTheme="majorHAnsi" w:cs="Times New Roman"/>
          <w:i/>
          <w:iCs/>
          <w:color w:val="333333"/>
          <w:sz w:val="20"/>
          <w:szCs w:val="20"/>
        </w:rPr>
        <w:t xml:space="preserve"> minimum of 36 semester hours beyond FREN 101-102, including:</w:t>
      </w:r>
    </w:p>
    <w:p w:rsidR="00B00F38" w:rsidRPr="006A6E90" w:rsidRDefault="00B00F38" w:rsidP="00B00F38">
      <w:pPr>
        <w:spacing w:after="0" w:line="240" w:lineRule="auto"/>
        <w:rPr>
          <w:rFonts w:asciiTheme="majorHAnsi" w:eastAsia="Times New Roman" w:hAnsiTheme="majorHAnsi" w:cs="Times New Roman"/>
          <w:i/>
          <w:iCs/>
          <w:color w:val="333333"/>
          <w:sz w:val="20"/>
          <w:szCs w:val="20"/>
        </w:rPr>
      </w:pPr>
      <w:r w:rsidRPr="006A6E90">
        <w:rPr>
          <w:rFonts w:asciiTheme="majorHAnsi" w:eastAsia="Times New Roman" w:hAnsiTheme="majorHAnsi" w:cs="Times New Roman"/>
          <w:i/>
          <w:iCs/>
          <w:color w:val="333333"/>
          <w:sz w:val="20"/>
          <w:szCs w:val="20"/>
        </w:rPr>
        <w:tab/>
      </w:r>
      <w:r w:rsidRPr="006A6E90">
        <w:rPr>
          <w:rFonts w:asciiTheme="majorHAnsi" w:eastAsia="Times New Roman" w:hAnsiTheme="majorHAnsi" w:cs="Times New Roman"/>
          <w:color w:val="333333"/>
          <w:sz w:val="20"/>
          <w:szCs w:val="20"/>
        </w:rPr>
        <w:t>FREN 201-20</w:t>
      </w:r>
      <w:r w:rsidRPr="006A6E90">
        <w:rPr>
          <w:rFonts w:asciiTheme="majorHAnsi" w:eastAsia="Times New Roman" w:hAnsiTheme="majorHAnsi" w:cs="Times New Roman"/>
          <w:b/>
          <w:color w:val="333333"/>
          <w:sz w:val="20"/>
          <w:szCs w:val="20"/>
        </w:rPr>
        <w:t>2</w:t>
      </w:r>
      <w:r w:rsidRPr="006A6E90">
        <w:rPr>
          <w:rFonts w:asciiTheme="majorHAnsi" w:eastAsia="Times New Roman" w:hAnsiTheme="majorHAnsi" w:cs="Times New Roman"/>
          <w:color w:val="333333"/>
          <w:sz w:val="20"/>
          <w:szCs w:val="20"/>
        </w:rPr>
        <w:t>, 301-302, 241 or 310, 499</w:t>
      </w:r>
      <w:r w:rsidRPr="006A6E90">
        <w:rPr>
          <w:rFonts w:asciiTheme="majorHAnsi" w:eastAsia="Times New Roman" w:hAnsiTheme="majorHAnsi" w:cs="Times New Roman"/>
          <w:color w:val="333333"/>
          <w:sz w:val="20"/>
          <w:szCs w:val="20"/>
        </w:rPr>
        <w:br/>
      </w:r>
      <w:r w:rsidRPr="006A6E90">
        <w:rPr>
          <w:rFonts w:asciiTheme="majorHAnsi" w:eastAsia="Times New Roman" w:hAnsiTheme="majorHAnsi" w:cs="Times New Roman"/>
          <w:color w:val="333333"/>
          <w:sz w:val="20"/>
          <w:szCs w:val="20"/>
        </w:rPr>
        <w:tab/>
        <w:t>and three 400-level courses, one of which must be completed in senior year</w:t>
      </w:r>
      <w:r w:rsidRPr="006A6E90">
        <w:rPr>
          <w:rFonts w:asciiTheme="majorHAnsi" w:eastAsia="Times New Roman" w:hAnsiTheme="majorHAnsi" w:cs="Times New Roman"/>
          <w:color w:val="333333"/>
          <w:sz w:val="20"/>
          <w:szCs w:val="20"/>
        </w:rPr>
        <w:br/>
      </w:r>
      <w:r w:rsidRPr="006A6E90">
        <w:rPr>
          <w:rFonts w:asciiTheme="majorHAnsi" w:eastAsia="Times New Roman" w:hAnsiTheme="majorHAnsi" w:cs="Times New Roman"/>
          <w:bCs/>
          <w:color w:val="333333"/>
          <w:sz w:val="20"/>
          <w:szCs w:val="20"/>
        </w:rPr>
        <w:t>Minor in French</w:t>
      </w:r>
      <w:r w:rsidRPr="006A6E90">
        <w:rPr>
          <w:rFonts w:asciiTheme="majorHAnsi" w:eastAsia="Times New Roman" w:hAnsiTheme="majorHAnsi" w:cs="Times New Roman"/>
          <w:color w:val="333333"/>
          <w:sz w:val="20"/>
          <w:szCs w:val="20"/>
        </w:rPr>
        <w:br/>
      </w:r>
      <w:r w:rsidRPr="006A6E90">
        <w:rPr>
          <w:rFonts w:asciiTheme="majorHAnsi" w:eastAsia="Times New Roman" w:hAnsiTheme="majorHAnsi" w:cs="Times New Roman"/>
          <w:i/>
          <w:iCs/>
          <w:color w:val="333333"/>
          <w:sz w:val="20"/>
          <w:szCs w:val="20"/>
        </w:rPr>
        <w:t>20 semester hours, excluding FREN 101-102 and including:</w:t>
      </w:r>
    </w:p>
    <w:p w:rsidR="00B00F38" w:rsidRPr="006A6E90" w:rsidRDefault="00B00F38" w:rsidP="00B00F38">
      <w:pPr>
        <w:spacing w:after="0" w:line="240" w:lineRule="auto"/>
        <w:rPr>
          <w:rFonts w:asciiTheme="majorHAnsi" w:eastAsia="Times New Roman" w:hAnsiTheme="majorHAnsi" w:cs="Times New Roman"/>
          <w:color w:val="333333"/>
          <w:sz w:val="20"/>
          <w:szCs w:val="20"/>
        </w:rPr>
      </w:pPr>
      <w:r w:rsidRPr="006A6E90">
        <w:rPr>
          <w:rFonts w:asciiTheme="majorHAnsi" w:eastAsia="Times New Roman" w:hAnsiTheme="majorHAnsi" w:cs="Times New Roman"/>
          <w:i/>
          <w:iCs/>
          <w:color w:val="333333"/>
          <w:sz w:val="20"/>
          <w:szCs w:val="20"/>
        </w:rPr>
        <w:tab/>
      </w:r>
      <w:r w:rsidRPr="006A6E90">
        <w:rPr>
          <w:rFonts w:asciiTheme="majorHAnsi" w:eastAsia="Times New Roman" w:hAnsiTheme="majorHAnsi" w:cs="Times New Roman"/>
          <w:color w:val="333333"/>
          <w:sz w:val="20"/>
          <w:szCs w:val="20"/>
        </w:rPr>
        <w:t>FREN 201-</w:t>
      </w:r>
      <w:r w:rsidRPr="006A6E90">
        <w:rPr>
          <w:rFonts w:asciiTheme="majorHAnsi" w:eastAsia="Times New Roman" w:hAnsiTheme="majorHAnsi" w:cs="Times New Roman"/>
          <w:b/>
          <w:color w:val="333333"/>
          <w:sz w:val="20"/>
          <w:szCs w:val="20"/>
        </w:rPr>
        <w:t>202, 301</w:t>
      </w:r>
      <w:r w:rsidRPr="006A6E90">
        <w:rPr>
          <w:rFonts w:asciiTheme="majorHAnsi" w:eastAsia="Times New Roman" w:hAnsiTheme="majorHAnsi" w:cs="Times New Roman"/>
          <w:color w:val="333333"/>
          <w:sz w:val="20"/>
          <w:szCs w:val="20"/>
        </w:rPr>
        <w:t>, and two additional upper-division courses</w:t>
      </w:r>
    </w:p>
    <w:p w:rsidR="0027076A" w:rsidRPr="006A6E90" w:rsidRDefault="0027076A" w:rsidP="00B00F38">
      <w:pPr>
        <w:spacing w:after="0" w:line="240" w:lineRule="auto"/>
        <w:rPr>
          <w:rFonts w:asciiTheme="majorHAnsi" w:eastAsia="Times New Roman" w:hAnsiTheme="majorHAnsi" w:cs="Times New Roman"/>
          <w:color w:val="333333"/>
          <w:sz w:val="20"/>
          <w:szCs w:val="20"/>
        </w:rPr>
      </w:pPr>
    </w:p>
    <w:p w:rsidR="0027076A" w:rsidRPr="006A6E90" w:rsidRDefault="0027076A" w:rsidP="00B00F38">
      <w:pPr>
        <w:spacing w:after="0" w:line="240" w:lineRule="auto"/>
        <w:rPr>
          <w:rFonts w:asciiTheme="majorHAnsi" w:eastAsia="Times New Roman" w:hAnsiTheme="majorHAnsi" w:cs="Times New Roman"/>
          <w:color w:val="333333"/>
          <w:sz w:val="20"/>
          <w:szCs w:val="20"/>
        </w:rPr>
      </w:pPr>
      <w:r w:rsidRPr="006A6E90">
        <w:rPr>
          <w:rFonts w:asciiTheme="majorHAnsi" w:eastAsia="Times New Roman" w:hAnsiTheme="majorHAnsi" w:cs="Times New Roman"/>
          <w:b/>
          <w:color w:val="333333"/>
          <w:sz w:val="20"/>
          <w:szCs w:val="20"/>
          <w:u w:val="single"/>
        </w:rPr>
        <w:t>SCANDINAVIAN STUDIES</w:t>
      </w:r>
    </w:p>
    <w:p w:rsidR="0027076A" w:rsidRPr="006A6E90" w:rsidRDefault="0027076A" w:rsidP="00B00F38">
      <w:pPr>
        <w:spacing w:after="0" w:line="240" w:lineRule="auto"/>
        <w:rPr>
          <w:rFonts w:asciiTheme="majorHAnsi" w:eastAsia="Times New Roman" w:hAnsiTheme="majorHAnsi" w:cs="Times New Roman"/>
          <w:color w:val="333333"/>
          <w:sz w:val="20"/>
          <w:szCs w:val="20"/>
        </w:rPr>
      </w:pPr>
    </w:p>
    <w:p w:rsidR="0027076A" w:rsidRPr="006A6E90" w:rsidRDefault="0027076A" w:rsidP="00B00F38">
      <w:pPr>
        <w:spacing w:after="0" w:line="240" w:lineRule="auto"/>
        <w:rPr>
          <w:rFonts w:asciiTheme="majorHAnsi" w:eastAsia="Times New Roman" w:hAnsiTheme="majorHAnsi" w:cs="Times New Roman"/>
          <w:color w:val="333333"/>
          <w:sz w:val="20"/>
          <w:szCs w:val="20"/>
        </w:rPr>
      </w:pPr>
      <w:r w:rsidRPr="006A6E90">
        <w:rPr>
          <w:rFonts w:asciiTheme="majorHAnsi" w:eastAsia="Times New Roman" w:hAnsiTheme="majorHAnsi" w:cs="Times New Roman"/>
          <w:color w:val="333333"/>
          <w:sz w:val="20"/>
          <w:szCs w:val="20"/>
        </w:rPr>
        <w:t xml:space="preserve">Course Description: This course explores globalization, de-centering of power, the declining sovereignty of nation-states, and the interaction of economic, political, and cultural factors in the global production of social life. Key topics include migration, sustainability, and international conflict as they related to Scandinavian societies, institutions, and states. </w:t>
      </w:r>
      <w:proofErr w:type="gramStart"/>
      <w:r w:rsidRPr="006A6E90">
        <w:rPr>
          <w:rFonts w:asciiTheme="majorHAnsi" w:eastAsia="Times New Roman" w:hAnsiTheme="majorHAnsi" w:cs="Times New Roman"/>
          <w:b/>
          <w:strike/>
          <w:color w:val="333333"/>
          <w:sz w:val="20"/>
          <w:szCs w:val="20"/>
        </w:rPr>
        <w:t>Cross-listed with POLS 322.</w:t>
      </w:r>
      <w:proofErr w:type="gramEnd"/>
      <w:r w:rsidRPr="006A6E90">
        <w:rPr>
          <w:rFonts w:asciiTheme="majorHAnsi" w:eastAsia="Times New Roman" w:hAnsiTheme="majorHAnsi" w:cs="Times New Roman"/>
          <w:color w:val="333333"/>
          <w:sz w:val="20"/>
          <w:szCs w:val="20"/>
        </w:rPr>
        <w:t xml:space="preserve"> (4)</w:t>
      </w:r>
    </w:p>
    <w:p w:rsidR="006A6E90" w:rsidRPr="006A6E90" w:rsidRDefault="006A6E90" w:rsidP="00B00F38">
      <w:pPr>
        <w:spacing w:after="0" w:line="240" w:lineRule="auto"/>
        <w:rPr>
          <w:rFonts w:asciiTheme="majorHAnsi" w:eastAsia="Times New Roman" w:hAnsiTheme="majorHAnsi" w:cs="Times New Roman"/>
          <w:color w:val="333333"/>
          <w:sz w:val="20"/>
          <w:szCs w:val="20"/>
        </w:rPr>
      </w:pPr>
    </w:p>
    <w:p w:rsidR="006A6E90" w:rsidRPr="006A6E90" w:rsidRDefault="006A6E90" w:rsidP="00B00F38">
      <w:pPr>
        <w:spacing w:after="0" w:line="240" w:lineRule="auto"/>
        <w:rPr>
          <w:rFonts w:asciiTheme="majorHAnsi" w:eastAsia="Times New Roman" w:hAnsiTheme="majorHAnsi" w:cs="Times New Roman"/>
          <w:b/>
          <w:color w:val="333333"/>
          <w:sz w:val="20"/>
          <w:szCs w:val="20"/>
          <w:u w:val="single"/>
        </w:rPr>
      </w:pPr>
      <w:r w:rsidRPr="006A6E90">
        <w:rPr>
          <w:rFonts w:asciiTheme="majorHAnsi" w:eastAsia="Times New Roman" w:hAnsiTheme="majorHAnsi" w:cs="Times New Roman"/>
          <w:b/>
          <w:color w:val="333333"/>
          <w:sz w:val="20"/>
          <w:szCs w:val="20"/>
          <w:u w:val="single"/>
        </w:rPr>
        <w:t>THEATRE</w:t>
      </w:r>
    </w:p>
    <w:p w:rsidR="00A37BB5" w:rsidRPr="006A6E90" w:rsidRDefault="00A37BB5" w:rsidP="00A37BB5">
      <w:pPr>
        <w:spacing w:after="0" w:line="240" w:lineRule="auto"/>
        <w:jc w:val="center"/>
        <w:rPr>
          <w:rFonts w:asciiTheme="majorHAnsi" w:hAnsiTheme="majorHAnsi"/>
          <w:b/>
          <w:sz w:val="20"/>
          <w:szCs w:val="20"/>
          <w:u w:val="single"/>
        </w:rPr>
      </w:pPr>
    </w:p>
    <w:p w:rsidR="006A6E90" w:rsidRPr="006A6E90" w:rsidRDefault="00212E12" w:rsidP="006A6E90">
      <w:pPr>
        <w:spacing w:after="0" w:line="240" w:lineRule="auto"/>
        <w:rPr>
          <w:rFonts w:asciiTheme="majorHAnsi" w:hAnsiTheme="majorHAnsi"/>
          <w:sz w:val="20"/>
          <w:szCs w:val="20"/>
        </w:rPr>
      </w:pPr>
      <w:bookmarkStart w:id="0" w:name="_GoBack"/>
      <w:r>
        <w:rPr>
          <w:rFonts w:asciiTheme="majorHAnsi" w:hAnsiTheme="majorHAnsi"/>
          <w:sz w:val="20"/>
          <w:szCs w:val="20"/>
        </w:rPr>
        <w:t xml:space="preserve">THEA 321: </w:t>
      </w:r>
      <w:r w:rsidR="006A6E90" w:rsidRPr="006A6E90">
        <w:rPr>
          <w:rFonts w:asciiTheme="majorHAnsi" w:hAnsiTheme="majorHAnsi"/>
          <w:sz w:val="20"/>
          <w:szCs w:val="20"/>
        </w:rPr>
        <w:t xml:space="preserve">Builds on techniques introduced in Makeup I. Specialized work in planning and application of techniques, from straight makeup through aging, three-dimensional and special effects. Prerequisite: THEA </w:t>
      </w:r>
      <w:r w:rsidR="006A6E90" w:rsidRPr="006A6E90">
        <w:rPr>
          <w:rFonts w:asciiTheme="majorHAnsi" w:hAnsiTheme="majorHAnsi"/>
          <w:strike/>
          <w:sz w:val="20"/>
          <w:szCs w:val="20"/>
        </w:rPr>
        <w:t>301</w:t>
      </w:r>
      <w:r w:rsidR="006A6E90" w:rsidRPr="006A6E90">
        <w:rPr>
          <w:rFonts w:asciiTheme="majorHAnsi" w:hAnsiTheme="majorHAnsi"/>
          <w:sz w:val="20"/>
          <w:szCs w:val="20"/>
        </w:rPr>
        <w:t xml:space="preserve"> </w:t>
      </w:r>
      <w:r w:rsidR="006A6E90" w:rsidRPr="006A6E90">
        <w:rPr>
          <w:rFonts w:asciiTheme="majorHAnsi" w:hAnsiTheme="majorHAnsi"/>
          <w:b/>
          <w:sz w:val="20"/>
          <w:szCs w:val="20"/>
        </w:rPr>
        <w:t>320</w:t>
      </w:r>
      <w:r w:rsidR="006A6E90" w:rsidRPr="006A6E90">
        <w:rPr>
          <w:rFonts w:asciiTheme="majorHAnsi" w:hAnsiTheme="majorHAnsi"/>
          <w:sz w:val="20"/>
          <w:szCs w:val="20"/>
        </w:rPr>
        <w:t>. (2)</w:t>
      </w:r>
      <w:bookmarkEnd w:id="0"/>
    </w:p>
    <w:sectPr w:rsidR="006A6E90" w:rsidRPr="006A6E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E6534"/>
    <w:multiLevelType w:val="multilevel"/>
    <w:tmpl w:val="A342A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037C46"/>
    <w:multiLevelType w:val="multilevel"/>
    <w:tmpl w:val="A4C837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1F25D3"/>
    <w:multiLevelType w:val="hybridMultilevel"/>
    <w:tmpl w:val="99C24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4E4E38"/>
    <w:multiLevelType w:val="multilevel"/>
    <w:tmpl w:val="E256A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BB5"/>
    <w:rsid w:val="0020180E"/>
    <w:rsid w:val="00212E12"/>
    <w:rsid w:val="0027076A"/>
    <w:rsid w:val="006A6E90"/>
    <w:rsid w:val="00A37BB5"/>
    <w:rsid w:val="00AF4997"/>
    <w:rsid w:val="00B00F38"/>
    <w:rsid w:val="00C8188E"/>
    <w:rsid w:val="00CB1105"/>
    <w:rsid w:val="00CF2258"/>
    <w:rsid w:val="00F74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188E"/>
    <w:rPr>
      <w:color w:val="0000FF" w:themeColor="hyperlink"/>
      <w:u w:val="single"/>
    </w:rPr>
  </w:style>
  <w:style w:type="paragraph" w:styleId="ListParagraph">
    <w:name w:val="List Paragraph"/>
    <w:basedOn w:val="Normal"/>
    <w:uiPriority w:val="34"/>
    <w:qFormat/>
    <w:rsid w:val="00CF2258"/>
    <w:pPr>
      <w:ind w:left="720"/>
      <w:contextualSpacing/>
    </w:pPr>
  </w:style>
  <w:style w:type="character" w:styleId="Strong">
    <w:name w:val="Strong"/>
    <w:basedOn w:val="DefaultParagraphFont"/>
    <w:uiPriority w:val="22"/>
    <w:qFormat/>
    <w:rsid w:val="00B00F38"/>
    <w:rPr>
      <w:b/>
      <w:bCs/>
    </w:rPr>
  </w:style>
  <w:style w:type="character" w:styleId="Emphasis">
    <w:name w:val="Emphasis"/>
    <w:basedOn w:val="DefaultParagraphFont"/>
    <w:uiPriority w:val="20"/>
    <w:qFormat/>
    <w:rsid w:val="00B00F3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188E"/>
    <w:rPr>
      <w:color w:val="0000FF" w:themeColor="hyperlink"/>
      <w:u w:val="single"/>
    </w:rPr>
  </w:style>
  <w:style w:type="paragraph" w:styleId="ListParagraph">
    <w:name w:val="List Paragraph"/>
    <w:basedOn w:val="Normal"/>
    <w:uiPriority w:val="34"/>
    <w:qFormat/>
    <w:rsid w:val="00CF2258"/>
    <w:pPr>
      <w:ind w:left="720"/>
      <w:contextualSpacing/>
    </w:pPr>
  </w:style>
  <w:style w:type="character" w:styleId="Strong">
    <w:name w:val="Strong"/>
    <w:basedOn w:val="DefaultParagraphFont"/>
    <w:uiPriority w:val="22"/>
    <w:qFormat/>
    <w:rsid w:val="00B00F38"/>
    <w:rPr>
      <w:b/>
      <w:bCs/>
    </w:rPr>
  </w:style>
  <w:style w:type="character" w:styleId="Emphasis">
    <w:name w:val="Emphasis"/>
    <w:basedOn w:val="DefaultParagraphFont"/>
    <w:uiPriority w:val="20"/>
    <w:qFormat/>
    <w:rsid w:val="00B00F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05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Pacific Lutheran University</Company>
  <LinksUpToDate>false</LinksUpToDate>
  <CharactersWithSpaces>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2015-11-04T19:43:00Z</dcterms:created>
  <dcterms:modified xsi:type="dcterms:W3CDTF">2015-11-04T19:48:00Z</dcterms:modified>
</cp:coreProperties>
</file>