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Year Experience (FW, FI)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right="-30" w:firstLine="0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Writing Seminar (4): After completing the First-Year Writing Seminar (or an equivalent WR course):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Students will employ rhetorical strategies effective for a specific context, purpose, and audience.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articulate, develop, and support an argument, point of view, or position, effectively using evidence relevant to the context.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implement strategies for revising the content, structure, and organization of their ideas.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right="-3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right="-30" w:firstLine="0"/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Inquiry Seminar: After completing the First-Year Inquiry Seminar: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identify the topics of study, the kinds of questions scholars pursue, and what counts as valid evidence in the discipline/field.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identify and practice the strategies used for the communication of knowledge in a discipline/field.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Art, Music, and Theatre (AR)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demonstrate comprehension of the various artistic skills and processes that contribute to a finished production or product.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evaluate aesthetic quality through analysis and judgement about works of art in a given medium.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Activity (PE)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0" w:line="240" w:lineRule="auto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PHED 100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know and appreciate the benefits of physical activity and active living.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understand the relationships between nutrition, stress management and physical activity on overall health and well-being.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0" w:before="0" w:line="240" w:lineRule="auto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Activity Courses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learn the basic knowledge and skills necessary for successful participation in the activity.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increase the awareness, knowledge and behavioral skills necessary to support a lifelong commitment to movement and physical activity.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Literature (LT)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use relevant interpretive strategies to pose critical questions about literary and/or cinematic texts.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identify and explain how the formal elements of language and genre shape meaning in literary and/or cinematic texts.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draw conclusions that consider multiple perspectives and prioritize relevant evidence in the development of well-reasoned arguments.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Philosophy (PH)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identify and justify the beliefs and values that inform their decision making.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interpret complex philosophical texts.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critique the arguments of others, fairly and respectfully.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Christian Traditions (RC)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demonstrate religious literacy about Christian traditions by locating them within their historical, cultural, or political contexts.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critically and empathetically analyze diverse forms of Christian texts, practices, histories, ethics, and/or theologies by applying an appropriate method from the academic study of religion.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Global Religious Traditions (RG)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8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be able to explain “religion” as a category of analysis, and identify how diverse religious traditions beyond Christianity shape human purpose, meaning, or action.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8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examine religious traditions beyond Christianity with respect to their origins, transmission, and/or place in their societies and cultures through approaches in the academic study of religion.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Mathematical Reasoning (MR)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demonstrate numeracy by solving quantitative problems and by interpreting quantitative information in context.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demonstrate the ability to work with mathematical notation, techniques and concepts.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create and critique logical arguments supported by quantitative evidence or symbolic relationships.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spacing w:after="0" w:before="0" w:line="24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Natural Science, Computer Science, and Mathematics (NS)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understand and apply basic concepts from a particular discipline of the natural sciences.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identify and explain organizing models of a discipline.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identify social and ethical issues pertaining to a discipline.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Science and Scientific Method 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use the scientific method to explore the natural world.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identify and assess hypotheses or meaningful questions based on their study of the natural world.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draw logical conclusions from experiments, observations, and/or relevant sources.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spacing w:after="0" w:before="0" w:lin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Sciences (SO1)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apply foundational concepts to the social sciences.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systematically analyze human behavior in relation to social contexts and group behavior.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Sciences (SO2)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display knowledge of cultural norms and biases.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Students will evaluate the relationships between culture and human behaviors and/or actions.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-3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Diversity: </w:t>
      </w:r>
      <w:r w:rsidDel="00000000" w:rsidR="00000000" w:rsidRPr="00000000">
        <w:rPr>
          <w:b w:val="1"/>
          <w:rtl w:val="0"/>
        </w:rPr>
        <w:t xml:space="preserve">Alternative Perspectives (A)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8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examine diverse social perspectives and cultural traditions in a US context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8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gain awareness and understanding of diversity in the United States, directly addressing issues such as ethnicity, gender, disability, racism, or poverty.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Diversity: Cross-Cultural Perspectives (C)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locate cultural and social perspectives and traditions in a global context.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apply comparative perspectives to understand a variety of cultural conditions.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Seminar (SR)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integrate and/or apply what they have learned in their general education and major/minor coursework (and co-curricular activities, as appropriate) to a substantive project.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apply one or more theories or concepts from their discipline to an analysis of a particular issue relevant to the field.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7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Students will share their work with members of their scholarly community. 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i w:val="1"/>
        <w:rtl w:val="0"/>
      </w:rPr>
      <w:t xml:space="preserve">Updated January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General Education Learning Outcomes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