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First Year Experience (FW, FI)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0" w:right="-30" w:firstLine="0"/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Writing Seminar (4): After completing the First-Year Writing Seminar (or an equivalent WR course):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Students will employ rhetorical strategies effective for a specific context, purpose, and audience.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articulate, develop, and support an argument, point of view, or position, effectively using evidence relevant to the context.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implement strategies for revising the content, structure, and organization of their ideas.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right="-3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0" w:right="-30" w:firstLine="0"/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Inquiry Seminar: After completing the First-Year Inquiry Seminar: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identify the topics of study, the kinds of questions scholars pursue, and what counts as valid evidence in the discipline/field.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identify and practice the strategies used for the communication of knowledge in a discipline/field.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spacing w:after="0"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Art, Music, and Theatre (AR)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7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demonstrate comprehension of the various artistic skills and processes that contribute to a finished production or product.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7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evaluate aesthetic quality through analysis and judgement about works of art in a given medium.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Physical Activity (PE)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spacing w:after="0" w:before="0" w:line="240" w:lineRule="auto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PHED 100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4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know and appreciate the benefits of physical activity and active living.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4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understand the relationships between nutrition, stress management and physical activity on overall health and well-being.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spacing w:after="0" w:before="0" w:line="240" w:lineRule="auto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Activity Courses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learn the basic knowledge and skills necessary for successful participation in the activity.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increase the awareness, knowledge and behavioral skills necessary to support a lifelong commitment to movement and physical activity.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Literature (LT)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right="-3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Students will use relevant interpretive strategies to pose critical questions about literary and/or cinematic texts.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right="-3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Students will identify and explain how the formal elements of language and genre shape meaning in literary and/or cinematic texts.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right="-3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Students will draw conclusions that consider multiple perspectives and prioritize relevant evidence in the development of well-reasoned arguments.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Philosophy (PH)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13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identify and justify the beliefs and values that inform their decision making.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13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interpret complex philosophical texts.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13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critique the arguments of others, fairly and respectfully.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spacing w:after="0"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spacing w:after="0"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spacing w:after="0"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Christian Traditions (RC)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5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demonstrate religious literacy about Christian traditions by locating them within their historical, cultural, or political contexts.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5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critically and empathetically analyze diverse forms of Christian texts, practices, histories, ethics, and/or theologies by applying an appropriate method from the academic study of religion.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spacing w:after="0"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Global Religious Traditions (RG)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18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be able to explain “religion” as a category of analysis, and identify how diverse religious traditions beyond Christianity shape human purpose, meaning, or action.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18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examine religious traditions beyond Christianity with respect to their origins, transmission, and/or place in their societies and cultures through approaches in the academic study of religion.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spacing w:after="0"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Mathematical Reasoning (MR)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3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demonstrate numeracy by solving quantitative problems and by interpreting quantitative information in context.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15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demonstrate the ability to work with mathematical notation, techniques and concepts.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15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create and critique logical arguments supported by quantitative evidence or symbolic relationships.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spacing w:after="0" w:before="0" w:line="24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Natural Science, Computer Science, and Mathematics (NS)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right="-3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Students will understand and apply basic concepts from a particular discipline of the natural sciences.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right="-3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Students will identify and explain organizing models of a discipline.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right="-3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Students will identify social and ethical issues pertaining to a discipline.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spacing w:after="0" w:before="0" w:line="240" w:lineRule="auto"/>
        <w:rPr/>
      </w:pPr>
      <w:r w:rsidDel="00000000" w:rsidR="00000000" w:rsidRPr="00000000">
        <w:rPr>
          <w:b w:val="1"/>
          <w:rtl w:val="0"/>
        </w:rPr>
        <w:t xml:space="preserve">Science and Scientific Method (SM)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14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use the scientific method to explore the natural world.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14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identify and assess hypotheses or meaningful questions based on their study of the natural world.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14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draw logical conclusions from experiments, observations, and/or relevant sources.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spacing w:after="0" w:before="0" w:line="24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Sciences (SO1)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right="-3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Students will apply foundational concepts to the social sciences.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right="-3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Students will systematically analyze human behavior in relation to social contexts and group behavior.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spacing w:after="0"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Sciences (SO2)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right="-3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Students will display knowledge of cultural norms and biases.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right="-3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Students will evaluate the relationships between culture and human behaviors and/or actions.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right="-30" w:firstLine="0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Diversity: </w:t>
      </w:r>
      <w:r w:rsidDel="00000000" w:rsidR="00000000" w:rsidRPr="00000000">
        <w:rPr>
          <w:b w:val="1"/>
          <w:rtl w:val="0"/>
        </w:rPr>
        <w:t xml:space="preserve">Alternative Perspectives (A)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8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examine diverse social perspectives and cultural traditions in a US context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8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gain awareness and understanding of diversity in the United States, directly addressing issues such as ethnicity, gender, disability, racism, or poverty.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Diversity: Cross-Cultural Perspectives (C)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1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locate cultural and social perspectives and traditions in a global context.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1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apply comparative perspectives to understand a variety of cultural conditions.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spacing w:after="0"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Senior Seminar (SR)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7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integrate and/or apply what they have learned in their general education and major/minor coursework (and co-curricular activities, as appropriate) to a substantive project.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7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apply one or more theories or concepts from their discipline to an analysis of a particular issue relevant to the field.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7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will share their work with members of their scholarly community. 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/>
    </w:pPr>
    <w:r w:rsidDel="00000000" w:rsidR="00000000" w:rsidRPr="00000000">
      <w:rPr>
        <w:i w:val="1"/>
        <w:rtl w:val="0"/>
      </w:rPr>
      <w:t xml:space="preserve">Updated January 2022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General Education Learning Outcomes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