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F9A3EA" w14:textId="393C0EE9" w:rsidR="00013943" w:rsidRPr="00013943" w:rsidRDefault="00013943" w:rsidP="00013943">
      <w:pPr>
        <w:pStyle w:val="NormalWeb"/>
        <w:spacing w:before="0" w:beforeAutospacing="0" w:after="0" w:afterAutospacing="0"/>
        <w:rPr>
          <w:rFonts w:ascii="Arial" w:hAnsi="Arial" w:cs="Arial"/>
          <w:color w:val="000000"/>
          <w:sz w:val="28"/>
          <w:szCs w:val="28"/>
          <w:u w:val="single"/>
        </w:rPr>
      </w:pPr>
      <w:r w:rsidRPr="00013943">
        <w:rPr>
          <w:rFonts w:ascii="Arial" w:hAnsi="Arial" w:cs="Arial"/>
          <w:color w:val="000000"/>
          <w:sz w:val="28"/>
          <w:szCs w:val="28"/>
          <w:u w:val="single"/>
        </w:rPr>
        <w:t xml:space="preserve">PLU DNP Aggregated Faculty Outcomes </w:t>
      </w:r>
      <w:r>
        <w:rPr>
          <w:rFonts w:ascii="Arial" w:hAnsi="Arial" w:cs="Arial"/>
          <w:color w:val="000000"/>
          <w:sz w:val="28"/>
          <w:szCs w:val="28"/>
          <w:u w:val="single"/>
        </w:rPr>
        <w:t>Summary 2018-2021</w:t>
      </w:r>
      <w:r w:rsidRPr="00013943">
        <w:rPr>
          <w:rFonts w:ascii="Arial" w:hAnsi="Arial" w:cs="Arial"/>
          <w:color w:val="000000"/>
          <w:sz w:val="28"/>
          <w:szCs w:val="28"/>
          <w:u w:val="single"/>
        </w:rPr>
        <w:t>(AFO)</w:t>
      </w:r>
      <w:r w:rsidRPr="00013943">
        <w:rPr>
          <w:rFonts w:ascii="Arial" w:hAnsi="Arial" w:cs="Arial"/>
          <w:color w:val="000000"/>
          <w:sz w:val="28"/>
          <w:szCs w:val="28"/>
          <w:u w:val="single"/>
        </w:rPr>
        <w:br/>
      </w:r>
    </w:p>
    <w:p w14:paraId="62926A28" w14:textId="234952C9" w:rsidR="00013943" w:rsidRDefault="00013943" w:rsidP="00013943">
      <w:pPr>
        <w:pStyle w:val="NormalWeb"/>
        <w:spacing w:before="0" w:beforeAutospacing="0" w:after="0" w:afterAutospacing="0"/>
      </w:pPr>
      <w:r>
        <w:rPr>
          <w:rFonts w:ascii="Arial" w:hAnsi="Arial" w:cs="Arial"/>
          <w:color w:val="000000"/>
          <w:sz w:val="20"/>
          <w:szCs w:val="20"/>
        </w:rPr>
        <w:t xml:space="preserve">Aggregate Faculty outcomes data are consistent and congruent with University and </w:t>
      </w:r>
      <w:proofErr w:type="spellStart"/>
      <w:r>
        <w:rPr>
          <w:rFonts w:ascii="Arial" w:hAnsi="Arial" w:cs="Arial"/>
          <w:color w:val="000000"/>
          <w:sz w:val="20"/>
          <w:szCs w:val="20"/>
        </w:rPr>
        <w:t>SoN</w:t>
      </w:r>
      <w:proofErr w:type="spellEnd"/>
      <w:r>
        <w:rPr>
          <w:rFonts w:ascii="Arial" w:hAnsi="Arial" w:cs="Arial"/>
          <w:color w:val="000000"/>
          <w:sz w:val="20"/>
          <w:szCs w:val="20"/>
        </w:rPr>
        <w:t xml:space="preserve"> program expectations.</w:t>
      </w:r>
      <w:r>
        <w:rPr>
          <w:rFonts w:ascii="Arial" w:hAnsi="Arial" w:cs="Arial"/>
          <w:b/>
          <w:bCs/>
          <w:color w:val="000000"/>
          <w:sz w:val="20"/>
          <w:szCs w:val="20"/>
        </w:rPr>
        <w:t xml:space="preserve"> </w:t>
      </w:r>
      <w:r>
        <w:rPr>
          <w:rFonts w:ascii="Arial" w:hAnsi="Arial" w:cs="Arial"/>
          <w:color w:val="000000"/>
          <w:sz w:val="20"/>
          <w:szCs w:val="20"/>
        </w:rPr>
        <w:t xml:space="preserve">Each year faculty report their contributions, </w:t>
      </w:r>
      <w:proofErr w:type="gramStart"/>
      <w:r>
        <w:rPr>
          <w:rFonts w:ascii="Arial" w:hAnsi="Arial" w:cs="Arial"/>
          <w:color w:val="000000"/>
          <w:sz w:val="20"/>
          <w:szCs w:val="20"/>
        </w:rPr>
        <w:t>activities</w:t>
      </w:r>
      <w:proofErr w:type="gramEnd"/>
      <w:r>
        <w:rPr>
          <w:rFonts w:ascii="Arial" w:hAnsi="Arial" w:cs="Arial"/>
          <w:color w:val="000000"/>
          <w:sz w:val="20"/>
          <w:szCs w:val="20"/>
        </w:rPr>
        <w:t xml:space="preserve"> and accomplishments. Methods used to acquire and report this data include the University electronic Faculty Activity Report (</w:t>
      </w:r>
      <w:proofErr w:type="spellStart"/>
      <w:r>
        <w:rPr>
          <w:rFonts w:ascii="Arial" w:hAnsi="Arial" w:cs="Arial"/>
          <w:color w:val="000000"/>
          <w:sz w:val="20"/>
          <w:szCs w:val="20"/>
        </w:rPr>
        <w:t>eFAR</w:t>
      </w:r>
      <w:proofErr w:type="spellEnd"/>
      <w:r>
        <w:rPr>
          <w:rFonts w:ascii="Arial" w:hAnsi="Arial" w:cs="Arial"/>
          <w:color w:val="000000"/>
          <w:sz w:val="20"/>
          <w:szCs w:val="20"/>
        </w:rPr>
        <w:t xml:space="preserve">), </w:t>
      </w:r>
      <w:proofErr w:type="spellStart"/>
      <w:r>
        <w:rPr>
          <w:rFonts w:ascii="Arial" w:hAnsi="Arial" w:cs="Arial"/>
          <w:color w:val="000000"/>
          <w:sz w:val="20"/>
          <w:szCs w:val="20"/>
        </w:rPr>
        <w:t>SoN</w:t>
      </w:r>
      <w:proofErr w:type="spellEnd"/>
      <w:r>
        <w:rPr>
          <w:rFonts w:ascii="Arial" w:hAnsi="Arial" w:cs="Arial"/>
          <w:color w:val="000000"/>
          <w:sz w:val="20"/>
          <w:szCs w:val="20"/>
        </w:rPr>
        <w:t xml:space="preserve"> Aggregate Faculty Outcomes (AFO) form, self-assessment report and submission of an updated CV to the Dean.  Data from the AFO tool is reported in aggregate and used to assess faculty outcomes identified in our SEP. Data includes data for all &gt;.5 FTE faculty and does not distinguish between programs, </w:t>
      </w:r>
      <w:proofErr w:type="gramStart"/>
      <w:r>
        <w:rPr>
          <w:rFonts w:ascii="Arial" w:hAnsi="Arial" w:cs="Arial"/>
          <w:color w:val="000000"/>
          <w:sz w:val="20"/>
          <w:szCs w:val="20"/>
        </w:rPr>
        <w:t>levels</w:t>
      </w:r>
      <w:proofErr w:type="gramEnd"/>
      <w:r>
        <w:rPr>
          <w:rFonts w:ascii="Arial" w:hAnsi="Arial" w:cs="Arial"/>
          <w:color w:val="000000"/>
          <w:sz w:val="20"/>
          <w:szCs w:val="20"/>
        </w:rPr>
        <w:t xml:space="preserve"> or specialties. Collected outcome data includes benchmarks for teaching, scholarship, service, and practice. See Table 4.G.1 for key AFOs and VRR for complete data.</w:t>
      </w:r>
    </w:p>
    <w:p w14:paraId="25FF6683" w14:textId="77777777" w:rsidR="00013943" w:rsidRDefault="00013943" w:rsidP="00013943">
      <w:pPr>
        <w:pStyle w:val="NormalWeb"/>
        <w:spacing w:before="0" w:beforeAutospacing="0" w:after="0" w:afterAutospacing="0"/>
      </w:pPr>
      <w:r>
        <w:rPr>
          <w:rStyle w:val="apple-tab-span"/>
          <w:rFonts w:ascii="Arial" w:hAnsi="Arial" w:cs="Arial"/>
          <w:color w:val="000000"/>
          <w:sz w:val="20"/>
          <w:szCs w:val="20"/>
        </w:rPr>
        <w:tab/>
      </w:r>
      <w:r>
        <w:rPr>
          <w:rFonts w:ascii="Arial" w:hAnsi="Arial" w:cs="Arial"/>
          <w:color w:val="000000"/>
          <w:sz w:val="20"/>
          <w:szCs w:val="20"/>
        </w:rPr>
        <w:t>As previously stated, all nursing faculty are included in the AFO data. Data reported below was manually extracted for the table. All Advanced Practice faculty maintain an active clinical practice and their CV’s can be found in the VRR. Only APRN faculty are required to maintain national certification. During the program review in preparation for this site visit, the faculty determined it would be appropriate to have an additional question asking the programs in which faculty teach to facilitate aggregate data analysis for both the entire school and each program. A change to the data collection tool is pending and will be in place for data collection at the end of AY 2020-2021. </w:t>
      </w:r>
    </w:p>
    <w:p w14:paraId="11C06ABF" w14:textId="520C6B3B" w:rsidR="00013943" w:rsidRDefault="00013943"/>
    <w:p w14:paraId="09DB1C2E" w14:textId="77777777" w:rsidR="00013943" w:rsidRPr="00013943" w:rsidRDefault="00013943" w:rsidP="00013943">
      <w:pPr>
        <w:spacing w:after="0" w:line="240" w:lineRule="auto"/>
        <w:rPr>
          <w:rFonts w:ascii="Times New Roman" w:eastAsia="Times New Roman" w:hAnsi="Times New Roman" w:cs="Times New Roman"/>
          <w:sz w:val="24"/>
          <w:szCs w:val="24"/>
        </w:rPr>
      </w:pPr>
    </w:p>
    <w:p w14:paraId="35D4BEDF"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Table 4.G.1 AFO for Full-time Faculty teaching in DNP Degree and NP Certification Programs</w:t>
      </w:r>
    </w:p>
    <w:tbl>
      <w:tblPr>
        <w:tblW w:w="0" w:type="auto"/>
        <w:tblCellMar>
          <w:top w:w="15" w:type="dxa"/>
          <w:left w:w="15" w:type="dxa"/>
          <w:bottom w:w="15" w:type="dxa"/>
          <w:right w:w="15" w:type="dxa"/>
        </w:tblCellMar>
        <w:tblLook w:val="04A0" w:firstRow="1" w:lastRow="0" w:firstColumn="1" w:lastColumn="0" w:noHBand="0" w:noVBand="1"/>
      </w:tblPr>
      <w:tblGrid>
        <w:gridCol w:w="6199"/>
        <w:gridCol w:w="1096"/>
        <w:gridCol w:w="1064"/>
        <w:gridCol w:w="991"/>
      </w:tblGrid>
      <w:tr w:rsidR="00013943" w:rsidRPr="00013943" w14:paraId="087DD460" w14:textId="77777777" w:rsidTr="00013943">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14:paraId="3DAB3749"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Goal</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14:paraId="6C74C49B"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2018-2019</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14:paraId="56A76D63"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2019-2020</w:t>
            </w:r>
          </w:p>
        </w:tc>
        <w:tc>
          <w:tcPr>
            <w:tcW w:w="0" w:type="auto"/>
            <w:tcBorders>
              <w:top w:val="single" w:sz="4" w:space="0" w:color="000000"/>
              <w:left w:val="single" w:sz="4" w:space="0" w:color="000000"/>
              <w:bottom w:val="single" w:sz="4" w:space="0" w:color="000000"/>
              <w:right w:val="single" w:sz="4" w:space="0" w:color="000000"/>
            </w:tcBorders>
            <w:shd w:val="clear" w:color="auto" w:fill="CCCCCC"/>
            <w:tcMar>
              <w:top w:w="100" w:type="dxa"/>
              <w:left w:w="100" w:type="dxa"/>
              <w:bottom w:w="100" w:type="dxa"/>
              <w:right w:w="100" w:type="dxa"/>
            </w:tcMar>
            <w:hideMark/>
          </w:tcPr>
          <w:p w14:paraId="701C4B33"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2020-2021</w:t>
            </w:r>
          </w:p>
        </w:tc>
      </w:tr>
      <w:tr w:rsidR="00013943" w:rsidRPr="00013943" w14:paraId="049D380C" w14:textId="77777777" w:rsidTr="00013943">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490944"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 xml:space="preserve">Teaching </w:t>
            </w:r>
            <w:r w:rsidRPr="00013943">
              <w:rPr>
                <w:rFonts w:ascii="Arial" w:eastAsia="Times New Roman" w:hAnsi="Arial" w:cs="Arial"/>
                <w:color w:val="000000"/>
                <w:sz w:val="20"/>
                <w:szCs w:val="20"/>
              </w:rPr>
              <w:t>75% of all student evaluations for teaching demonstrate agree/strongly agree on overall faculty teaching effectiveness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2F55DDB"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(91.11%)</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A1E6078"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(98.7</w:t>
            </w:r>
            <w:proofErr w:type="gramStart"/>
            <w:r w:rsidRPr="00013943">
              <w:rPr>
                <w:rFonts w:ascii="Trebuchet MS" w:eastAsia="Times New Roman" w:hAnsi="Trebuchet MS" w:cs="Times New Roman"/>
                <w:color w:val="000000"/>
                <w:sz w:val="20"/>
                <w:szCs w:val="20"/>
              </w:rPr>
              <w:t>%)*</w:t>
            </w:r>
            <w:proofErr w:type="gramEnd"/>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67A120"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(87.3%)</w:t>
            </w:r>
          </w:p>
        </w:tc>
      </w:tr>
      <w:tr w:rsidR="00013943" w:rsidRPr="00013943" w14:paraId="1F11863B" w14:textId="77777777" w:rsidTr="00013943">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E7BDBA9"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 xml:space="preserve">Service 90% of faculty will demonstrate </w:t>
            </w:r>
            <w:r w:rsidRPr="00013943">
              <w:rPr>
                <w:rFonts w:ascii="Arial" w:eastAsia="Times New Roman" w:hAnsi="Arial" w:cs="Arial"/>
                <w:color w:val="000000"/>
                <w:sz w:val="20"/>
                <w:szCs w:val="20"/>
              </w:rPr>
              <w:t>Professional faculty service: which includes university committees, community service and professional services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A697D2"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1B1A52"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4CD9D1F"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(100%)</w:t>
            </w:r>
          </w:p>
        </w:tc>
      </w:tr>
      <w:tr w:rsidR="00013943" w:rsidRPr="00013943" w14:paraId="0A3C644A" w14:textId="77777777" w:rsidTr="00013943">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E574259"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Arial" w:eastAsia="Times New Roman" w:hAnsi="Arial" w:cs="Arial"/>
                <w:color w:val="000000"/>
                <w:sz w:val="20"/>
                <w:szCs w:val="20"/>
              </w:rPr>
              <w:t>Scholarship: “80% of tenure-track and tenured faculty will demonstrate a scholarly product annually.” </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4994405"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(87.5%)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6D35F0A"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(87.5%)</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F1D9C6"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(88.8%)</w:t>
            </w:r>
          </w:p>
        </w:tc>
      </w:tr>
      <w:tr w:rsidR="00013943" w:rsidRPr="00013943" w14:paraId="4B85DA80" w14:textId="77777777" w:rsidTr="00013943">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9E018D0"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Arial" w:eastAsia="Times New Roman" w:hAnsi="Arial" w:cs="Arial"/>
                <w:i/>
                <w:iCs/>
                <w:color w:val="000000"/>
                <w:sz w:val="20"/>
                <w:szCs w:val="20"/>
              </w:rPr>
              <w:t>Practice:</w:t>
            </w:r>
            <w:r w:rsidRPr="00013943">
              <w:rPr>
                <w:rFonts w:ascii="Arial" w:eastAsia="Times New Roman" w:hAnsi="Arial" w:cs="Arial"/>
                <w:color w:val="000000"/>
                <w:sz w:val="20"/>
                <w:szCs w:val="20"/>
              </w:rPr>
              <w:t xml:space="preserve"> “95% of all licensed nursing faculty maintain practice requirement for licensure consistent with Washington State NCQAC continuing competency requirements”</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524CAAA"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F7FB333"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(100%)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0A8464"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(100%)</w:t>
            </w:r>
          </w:p>
        </w:tc>
      </w:tr>
      <w:tr w:rsidR="00013943" w:rsidRPr="00013943" w14:paraId="04046C2A" w14:textId="77777777" w:rsidTr="00013943">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1C4919"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Arial" w:eastAsia="Times New Roman" w:hAnsi="Arial" w:cs="Arial"/>
                <w:color w:val="000000"/>
                <w:sz w:val="20"/>
                <w:szCs w:val="20"/>
              </w:rPr>
              <w:t>Certification: “70 % of the registered nurse faculty are certified”</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D2D33CC"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(92.8%)</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A2912A5"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(90%)</w:t>
            </w:r>
          </w:p>
        </w:t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4BD0F65" w14:textId="77777777" w:rsidR="00013943" w:rsidRPr="00013943" w:rsidRDefault="00013943" w:rsidP="00013943">
            <w:pPr>
              <w:spacing w:after="0" w:line="240" w:lineRule="auto"/>
              <w:rPr>
                <w:rFonts w:ascii="Times New Roman" w:eastAsia="Times New Roman" w:hAnsi="Times New Roman" w:cs="Times New Roman"/>
                <w:sz w:val="24"/>
                <w:szCs w:val="24"/>
              </w:rPr>
            </w:pPr>
            <w:r w:rsidRPr="00013943">
              <w:rPr>
                <w:rFonts w:ascii="Trebuchet MS" w:eastAsia="Times New Roman" w:hAnsi="Trebuchet MS" w:cs="Times New Roman"/>
                <w:color w:val="000000"/>
                <w:sz w:val="20"/>
                <w:szCs w:val="20"/>
              </w:rPr>
              <w:t>Met (95.8%)</w:t>
            </w:r>
          </w:p>
        </w:tc>
      </w:tr>
    </w:tbl>
    <w:p w14:paraId="417AA6C0" w14:textId="38B62BE6" w:rsidR="00013943" w:rsidRDefault="00013943"/>
    <w:p w14:paraId="172C8DD1" w14:textId="77777777" w:rsidR="00013943" w:rsidRDefault="00013943" w:rsidP="00013943">
      <w:pPr>
        <w:pStyle w:val="NormalWeb"/>
        <w:spacing w:before="0" w:beforeAutospacing="0" w:after="0" w:afterAutospacing="0"/>
      </w:pPr>
      <w:r>
        <w:rPr>
          <w:rFonts w:ascii="Arial" w:hAnsi="Arial" w:cs="Arial"/>
          <w:color w:val="000000"/>
          <w:sz w:val="20"/>
          <w:szCs w:val="20"/>
        </w:rPr>
        <w:t>*Spring 2020 data for faculty teaching not available. University end of course evaluations were focused on COVID experience and did not include the faculty effectiveness question.</w:t>
      </w:r>
    </w:p>
    <w:p w14:paraId="3FBEE993" w14:textId="77777777" w:rsidR="00013943" w:rsidRDefault="00013943"/>
    <w:sectPr w:rsidR="00013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943"/>
    <w:rsid w:val="00013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513E"/>
  <w15:chartTrackingRefBased/>
  <w15:docId w15:val="{9B17FDA2-F74A-4B29-B6B0-0B9D29AA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39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0139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5828732">
      <w:bodyDiv w:val="1"/>
      <w:marLeft w:val="0"/>
      <w:marRight w:val="0"/>
      <w:marTop w:val="0"/>
      <w:marBottom w:val="0"/>
      <w:divBdr>
        <w:top w:val="none" w:sz="0" w:space="0" w:color="auto"/>
        <w:left w:val="none" w:sz="0" w:space="0" w:color="auto"/>
        <w:bottom w:val="none" w:sz="0" w:space="0" w:color="auto"/>
        <w:right w:val="none" w:sz="0" w:space="0" w:color="auto"/>
      </w:divBdr>
    </w:div>
    <w:div w:id="1766344036">
      <w:bodyDiv w:val="1"/>
      <w:marLeft w:val="0"/>
      <w:marRight w:val="0"/>
      <w:marTop w:val="0"/>
      <w:marBottom w:val="0"/>
      <w:divBdr>
        <w:top w:val="none" w:sz="0" w:space="0" w:color="auto"/>
        <w:left w:val="none" w:sz="0" w:space="0" w:color="auto"/>
        <w:bottom w:val="none" w:sz="0" w:space="0" w:color="auto"/>
        <w:right w:val="none" w:sz="0" w:space="0" w:color="auto"/>
      </w:divBdr>
      <w:divsChild>
        <w:div w:id="1985313533">
          <w:marLeft w:val="-100"/>
          <w:marRight w:val="0"/>
          <w:marTop w:val="0"/>
          <w:marBottom w:val="0"/>
          <w:divBdr>
            <w:top w:val="none" w:sz="0" w:space="0" w:color="auto"/>
            <w:left w:val="none" w:sz="0" w:space="0" w:color="auto"/>
            <w:bottom w:val="none" w:sz="0" w:space="0" w:color="auto"/>
            <w:right w:val="none" w:sz="0" w:space="0" w:color="auto"/>
          </w:divBdr>
        </w:div>
      </w:divsChild>
    </w:div>
    <w:div w:id="19432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392</Words>
  <Characters>2237</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Reulbach</dc:creator>
  <cp:keywords/>
  <dc:description/>
  <cp:lastModifiedBy>Louise Reulbach</cp:lastModifiedBy>
  <cp:revision>1</cp:revision>
  <dcterms:created xsi:type="dcterms:W3CDTF">2021-02-27T19:28:00Z</dcterms:created>
  <dcterms:modified xsi:type="dcterms:W3CDTF">2021-02-27T19:34:00Z</dcterms:modified>
</cp:coreProperties>
</file>