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2070"/>
      </w:tblGrid>
      <w:tr w:rsidR="00BB05AE" w:rsidTr="00980C64">
        <w:trPr>
          <w:trHeight w:val="2070"/>
        </w:trPr>
        <w:tc>
          <w:tcPr>
            <w:tcW w:w="2160" w:type="dxa"/>
            <w:vAlign w:val="center"/>
          </w:tcPr>
          <w:p w:rsidR="00BB05AE" w:rsidRPr="00980C64" w:rsidRDefault="00980C64" w:rsidP="00980C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1104900"/>
                  <wp:effectExtent l="19050" t="0" r="0" b="0"/>
                  <wp:docPr id="9" name="Picture 9" descr="!pluro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pluro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B05A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BB05AE" w:rsidRPr="00A10AB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  <w:r w:rsidRPr="00A10ABE">
              <w:rPr>
                <w:b/>
                <w:i/>
                <w:sz w:val="36"/>
                <w:szCs w:val="36"/>
              </w:rPr>
              <w:t>PLU Safety Committee</w:t>
            </w:r>
          </w:p>
          <w:p w:rsidR="00BB05AE" w:rsidRPr="00A10AB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  <w:r w:rsidRPr="00A10ABE">
              <w:rPr>
                <w:b/>
                <w:i/>
                <w:sz w:val="36"/>
                <w:szCs w:val="36"/>
              </w:rPr>
              <w:t>Report To The Community</w:t>
            </w:r>
          </w:p>
          <w:p w:rsidR="00BB05AE" w:rsidRPr="00A10ABE" w:rsidRDefault="00980C64" w:rsidP="006A520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May </w:t>
            </w:r>
            <w:r w:rsidR="00BB05AE" w:rsidRPr="00A10ABE">
              <w:rPr>
                <w:b/>
                <w:i/>
                <w:sz w:val="36"/>
                <w:szCs w:val="36"/>
              </w:rPr>
              <w:t>201</w:t>
            </w:r>
            <w:r w:rsidR="00AA1AB7">
              <w:rPr>
                <w:b/>
                <w:i/>
                <w:sz w:val="36"/>
                <w:szCs w:val="36"/>
              </w:rPr>
              <w:t>6</w:t>
            </w:r>
          </w:p>
          <w:p w:rsidR="00BB05AE" w:rsidRPr="00A10ABE" w:rsidRDefault="00BB05AE" w:rsidP="00C94112">
            <w:pPr>
              <w:pStyle w:val="Heading1"/>
              <w:jc w:val="left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BB05AE" w:rsidRDefault="00980C64" w:rsidP="00BB05AE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1285875"/>
                  <wp:effectExtent l="19050" t="0" r="0" b="0"/>
                  <wp:docPr id="39" name="Picture 39" descr="C:\Users\northal\Documents\Safety Committee\Safety Committee Logo (PROPO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orthal\Documents\Safety Committee\Safety Committee Logo (PROPOS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17C" w:rsidRPr="002C1558" w:rsidRDefault="007A117C" w:rsidP="000410AE">
      <w:pPr>
        <w:pStyle w:val="BodyText"/>
        <w:spacing w:after="283"/>
        <w:jc w:val="center"/>
        <w:rPr>
          <w:sz w:val="28"/>
          <w:szCs w:val="28"/>
        </w:rPr>
      </w:pPr>
      <w:bookmarkStart w:id="0" w:name="_GoBack"/>
      <w:bookmarkEnd w:id="0"/>
      <w:r w:rsidRPr="002C1558">
        <w:rPr>
          <w:b/>
          <w:sz w:val="28"/>
          <w:szCs w:val="28"/>
          <w:u w:val="single"/>
        </w:rPr>
        <w:t>PLU SAFETY COMMITTEE MISSION STATEMENT</w:t>
      </w:r>
    </w:p>
    <w:p w:rsidR="007A117C" w:rsidRPr="007A117C" w:rsidRDefault="007A117C" w:rsidP="007A117C">
      <w:pPr>
        <w:jc w:val="center"/>
      </w:pPr>
      <w:r w:rsidRPr="007A117C">
        <w:t xml:space="preserve">The PLU </w:t>
      </w:r>
      <w:r w:rsidR="00C56AF3">
        <w:t>S</w:t>
      </w:r>
      <w:r w:rsidRPr="007A117C">
        <w:t xml:space="preserve">afety </w:t>
      </w:r>
      <w:r w:rsidR="00C56AF3">
        <w:t>C</w:t>
      </w:r>
      <w:r w:rsidRPr="007A117C">
        <w:t xml:space="preserve">ommittee’s mission is to provide a forum where every employee and student can communicate safety related concerns. We will identify hazards, investigate injuries, </w:t>
      </w:r>
      <w:r w:rsidR="004349D7" w:rsidRPr="007A117C">
        <w:t>and recommend</w:t>
      </w:r>
      <w:r w:rsidRPr="007A117C">
        <w:t xml:space="preserve"> policy, procedures and training to improve the health and safety of the PLU community.</w:t>
      </w:r>
    </w:p>
    <w:p w:rsidR="00C94112" w:rsidRPr="007A117C" w:rsidRDefault="00C94112" w:rsidP="007A117C"/>
    <w:p w:rsidR="00C94112" w:rsidRPr="007A117C" w:rsidRDefault="00C94112" w:rsidP="000912D5">
      <w:pPr>
        <w:tabs>
          <w:tab w:val="left" w:pos="90"/>
        </w:tabs>
      </w:pPr>
      <w:r w:rsidRPr="007A117C">
        <w:t xml:space="preserve">The </w:t>
      </w:r>
      <w:r w:rsidR="002C1558">
        <w:t xml:space="preserve">PLU </w:t>
      </w:r>
      <w:r w:rsidR="001B5B03">
        <w:t>S</w:t>
      </w:r>
      <w:r w:rsidRPr="007A117C">
        <w:t xml:space="preserve">afety </w:t>
      </w:r>
      <w:r w:rsidR="001B5B03">
        <w:t>C</w:t>
      </w:r>
      <w:r w:rsidRPr="007A117C">
        <w:t>ommittee</w:t>
      </w:r>
      <w:r w:rsidR="002154E6">
        <w:t xml:space="preserve"> (SC)</w:t>
      </w:r>
      <w:r w:rsidRPr="007A117C">
        <w:t xml:space="preserve"> submits the follow</w:t>
      </w:r>
      <w:r w:rsidR="001A6BD3">
        <w:t xml:space="preserve">ing information as a summary of </w:t>
      </w:r>
      <w:r w:rsidRPr="007A117C">
        <w:t>20</w:t>
      </w:r>
      <w:r w:rsidR="00436D0A">
        <w:t>1</w:t>
      </w:r>
      <w:r w:rsidR="009324D7">
        <w:t>5</w:t>
      </w:r>
      <w:r w:rsidRPr="007A117C">
        <w:t>-</w:t>
      </w:r>
      <w:r w:rsidR="00EE285B">
        <w:t>20</w:t>
      </w:r>
      <w:r w:rsidR="00AB2A52">
        <w:t>1</w:t>
      </w:r>
      <w:r w:rsidR="009324D7">
        <w:t>6</w:t>
      </w:r>
      <w:r w:rsidRPr="007A117C">
        <w:t xml:space="preserve"> activities</w:t>
      </w:r>
      <w:r w:rsidR="000912D5">
        <w:t>.</w:t>
      </w:r>
    </w:p>
    <w:p w:rsidR="007A117C" w:rsidRPr="007A117C" w:rsidRDefault="007A117C" w:rsidP="007A117C"/>
    <w:p w:rsidR="0077472B" w:rsidRDefault="0077472B" w:rsidP="00BB05AE">
      <w:pPr>
        <w:ind w:left="360"/>
      </w:pPr>
      <w:r>
        <w:t>D</w:t>
      </w:r>
      <w:r w:rsidRPr="007A117C">
        <w:t>uring the 20</w:t>
      </w:r>
      <w:r w:rsidR="00436D0A">
        <w:t>1</w:t>
      </w:r>
      <w:r w:rsidR="00C745C6">
        <w:t>5</w:t>
      </w:r>
      <w:r w:rsidRPr="007A117C">
        <w:t>-</w:t>
      </w:r>
      <w:r w:rsidR="00EE285B">
        <w:t>1</w:t>
      </w:r>
      <w:r w:rsidR="00C745C6">
        <w:t>6</w:t>
      </w:r>
      <w:r w:rsidR="00DD3D7E">
        <w:t xml:space="preserve"> academic </w:t>
      </w:r>
      <w:proofErr w:type="gramStart"/>
      <w:r w:rsidRPr="007A117C">
        <w:t>year</w:t>
      </w:r>
      <w:proofErr w:type="gramEnd"/>
      <w:r>
        <w:t xml:space="preserve"> t</w:t>
      </w:r>
      <w:r w:rsidR="007A117C" w:rsidRPr="007A117C">
        <w:t xml:space="preserve">he </w:t>
      </w:r>
      <w:r w:rsidR="00220C9B">
        <w:t xml:space="preserve">PLU </w:t>
      </w:r>
      <w:r w:rsidR="002154E6">
        <w:t xml:space="preserve">SC </w:t>
      </w:r>
      <w:r w:rsidR="007A117C" w:rsidRPr="007A117C">
        <w:t>has fulfilled its responsibility to</w:t>
      </w:r>
      <w:r>
        <w:t>:</w:t>
      </w:r>
    </w:p>
    <w:p w:rsidR="003F2F78" w:rsidRPr="0077472B" w:rsidRDefault="003F2F78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>R</w:t>
      </w:r>
      <w:r w:rsidRPr="007A117C">
        <w:t>eview</w:t>
      </w:r>
      <w:r w:rsidR="00A10ABE">
        <w:t xml:space="preserve"> </w:t>
      </w:r>
      <w:r w:rsidR="00B54602">
        <w:t xml:space="preserve">monthly </w:t>
      </w:r>
      <w:r>
        <w:t>incident/</w:t>
      </w:r>
      <w:r w:rsidRPr="007A117C">
        <w:t>accident reports</w:t>
      </w:r>
      <w:r w:rsidR="0006360E">
        <w:t>;</w:t>
      </w:r>
      <w:r w:rsidRPr="0077472B">
        <w:rPr>
          <w:color w:val="000000"/>
        </w:rPr>
        <w:t xml:space="preserve"> </w:t>
      </w:r>
    </w:p>
    <w:p w:rsidR="0077472B" w:rsidRPr="0077472B" w:rsidRDefault="0077472B" w:rsidP="00BB05AE">
      <w:pPr>
        <w:numPr>
          <w:ilvl w:val="0"/>
          <w:numId w:val="8"/>
        </w:numPr>
        <w:ind w:hanging="180"/>
        <w:rPr>
          <w:color w:val="000000"/>
        </w:rPr>
      </w:pPr>
      <w:r w:rsidRPr="0077472B">
        <w:rPr>
          <w:color w:val="000000"/>
        </w:rPr>
        <w:t>Evaluat</w:t>
      </w:r>
      <w:r w:rsidR="00654E86">
        <w:rPr>
          <w:color w:val="000000"/>
        </w:rPr>
        <w:t>e</w:t>
      </w:r>
      <w:r w:rsidR="00955233">
        <w:rPr>
          <w:color w:val="000000"/>
        </w:rPr>
        <w:t xml:space="preserve"> </w:t>
      </w:r>
      <w:r w:rsidRPr="0077472B">
        <w:rPr>
          <w:color w:val="000000"/>
        </w:rPr>
        <w:t>accident investigations to determine if the cause(s) of the</w:t>
      </w:r>
      <w:r w:rsidR="001B5B03">
        <w:rPr>
          <w:color w:val="000000"/>
        </w:rPr>
        <w:t xml:space="preserve"> </w:t>
      </w:r>
      <w:r w:rsidR="00C56AF3">
        <w:rPr>
          <w:color w:val="000000"/>
        </w:rPr>
        <w:t>uns</w:t>
      </w:r>
      <w:r w:rsidRPr="0077472B">
        <w:rPr>
          <w:color w:val="000000"/>
        </w:rPr>
        <w:t xml:space="preserve">afe </w:t>
      </w:r>
      <w:r w:rsidR="001A6BD3">
        <w:rPr>
          <w:color w:val="000000"/>
        </w:rPr>
        <w:t>condition</w:t>
      </w:r>
      <w:r w:rsidR="0006360E">
        <w:rPr>
          <w:color w:val="000000"/>
        </w:rPr>
        <w:t xml:space="preserve"> was identified and corrected;</w:t>
      </w:r>
    </w:p>
    <w:p w:rsidR="009B640E" w:rsidRDefault="009B640E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>Cond</w:t>
      </w:r>
      <w:r w:rsidR="0006360E">
        <w:rPr>
          <w:color w:val="000000"/>
        </w:rPr>
        <w:t>uct building safety inspections;</w:t>
      </w:r>
      <w:r>
        <w:rPr>
          <w:color w:val="000000"/>
        </w:rPr>
        <w:t xml:space="preserve"> </w:t>
      </w:r>
    </w:p>
    <w:p w:rsidR="0077472B" w:rsidRPr="0077472B" w:rsidRDefault="0077472B" w:rsidP="00BB05AE">
      <w:pPr>
        <w:numPr>
          <w:ilvl w:val="0"/>
          <w:numId w:val="8"/>
        </w:numPr>
        <w:ind w:hanging="180"/>
        <w:rPr>
          <w:color w:val="000000"/>
        </w:rPr>
      </w:pPr>
      <w:r w:rsidRPr="0077472B">
        <w:rPr>
          <w:color w:val="000000"/>
        </w:rPr>
        <w:t xml:space="preserve">Document </w:t>
      </w:r>
      <w:r w:rsidR="0006360E">
        <w:rPr>
          <w:color w:val="000000"/>
        </w:rPr>
        <w:t>meeting attendance; and</w:t>
      </w:r>
    </w:p>
    <w:p w:rsidR="003F2F78" w:rsidRDefault="00B54602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>Record</w:t>
      </w:r>
      <w:r w:rsidR="00C32974">
        <w:rPr>
          <w:color w:val="000000"/>
        </w:rPr>
        <w:t xml:space="preserve"> and post </w:t>
      </w:r>
      <w:r w:rsidR="0077472B" w:rsidRPr="0077472B">
        <w:rPr>
          <w:color w:val="000000"/>
        </w:rPr>
        <w:t>minutes from each safety committee</w:t>
      </w:r>
      <w:r w:rsidR="003F2F78">
        <w:rPr>
          <w:color w:val="000000"/>
        </w:rPr>
        <w:t xml:space="preserve">, </w:t>
      </w:r>
      <w:r w:rsidR="0096561A">
        <w:rPr>
          <w:color w:val="000000"/>
        </w:rPr>
        <w:t xml:space="preserve">made </w:t>
      </w:r>
      <w:r w:rsidR="0077472B" w:rsidRPr="0077472B">
        <w:rPr>
          <w:color w:val="000000"/>
        </w:rPr>
        <w:t>them available for review by</w:t>
      </w:r>
      <w:r w:rsidR="001B5B03">
        <w:rPr>
          <w:color w:val="000000"/>
        </w:rPr>
        <w:t xml:space="preserve"> </w:t>
      </w:r>
      <w:r w:rsidR="0096561A">
        <w:rPr>
          <w:color w:val="000000"/>
        </w:rPr>
        <w:t>PLU personnel and S</w:t>
      </w:r>
      <w:r w:rsidR="0077472B" w:rsidRPr="0077472B">
        <w:rPr>
          <w:color w:val="000000"/>
        </w:rPr>
        <w:t>afety</w:t>
      </w:r>
      <w:r w:rsidR="0096561A">
        <w:rPr>
          <w:color w:val="000000"/>
        </w:rPr>
        <w:t xml:space="preserve"> / H</w:t>
      </w:r>
      <w:r w:rsidR="0077472B" w:rsidRPr="0077472B">
        <w:rPr>
          <w:color w:val="000000"/>
        </w:rPr>
        <w:t xml:space="preserve">ealth consultation personnel of the </w:t>
      </w:r>
      <w:r w:rsidR="00413F71">
        <w:rPr>
          <w:color w:val="000000"/>
        </w:rPr>
        <w:t xml:space="preserve">WA </w:t>
      </w:r>
      <w:r w:rsidR="0077472B" w:rsidRPr="0077472B">
        <w:rPr>
          <w:color w:val="000000"/>
        </w:rPr>
        <w:t>Department of Labor and Industries.</w:t>
      </w:r>
    </w:p>
    <w:p w:rsidR="00C56AF3" w:rsidRDefault="00C56AF3" w:rsidP="0077472B"/>
    <w:p w:rsidR="00BB05AE" w:rsidRDefault="00BB05AE" w:rsidP="00BB05AE">
      <w:pPr>
        <w:ind w:left="360"/>
      </w:pPr>
      <w:r>
        <w:t>Other activities included:</w:t>
      </w:r>
    </w:p>
    <w:p w:rsidR="0006360E" w:rsidRDefault="0006360E" w:rsidP="00BB05AE">
      <w:pPr>
        <w:numPr>
          <w:ilvl w:val="0"/>
          <w:numId w:val="12"/>
        </w:numPr>
        <w:ind w:hanging="180"/>
      </w:pPr>
      <w:r>
        <w:t>SC agreed</w:t>
      </w:r>
      <w:r w:rsidR="00400987">
        <w:t xml:space="preserve">, as one of 2015-16 goals, to </w:t>
      </w:r>
      <w:r>
        <w:t>provid</w:t>
      </w:r>
      <w:r w:rsidR="00400987">
        <w:t>e</w:t>
      </w:r>
      <w:r>
        <w:t xml:space="preserve"> the PLU Community</w:t>
      </w:r>
      <w:r w:rsidR="00400987">
        <w:t xml:space="preserve"> with </w:t>
      </w:r>
      <w:r>
        <w:t>Public Service Announcements quarterly in the Daily Flyer, emergency preparedness information in Good Fit Newsletter</w:t>
      </w:r>
      <w:r w:rsidR="00400987">
        <w:t>s</w:t>
      </w:r>
      <w:r>
        <w:t xml:space="preserve"> and </w:t>
      </w:r>
      <w:r w:rsidR="00400987">
        <w:t xml:space="preserve">to </w:t>
      </w:r>
      <w:r>
        <w:t xml:space="preserve">continue </w:t>
      </w:r>
      <w:r w:rsidR="00400987">
        <w:t xml:space="preserve">to update/track </w:t>
      </w:r>
      <w:r>
        <w:t xml:space="preserve">social media </w:t>
      </w:r>
      <w:r w:rsidR="00400987">
        <w:t xml:space="preserve">outlet - Facebook. </w:t>
      </w:r>
      <w:r>
        <w:t xml:space="preserve"> </w:t>
      </w:r>
    </w:p>
    <w:p w:rsidR="002154E6" w:rsidRDefault="00400987" w:rsidP="00BB05AE">
      <w:pPr>
        <w:numPr>
          <w:ilvl w:val="0"/>
          <w:numId w:val="12"/>
        </w:numPr>
        <w:ind w:hanging="180"/>
      </w:pPr>
      <w:r>
        <w:t xml:space="preserve">SC approved, as one of 2015-16 goals, </w:t>
      </w:r>
      <w:r w:rsidR="0006360E">
        <w:t xml:space="preserve">to assist in reducing </w:t>
      </w:r>
      <w:r w:rsidR="00334FE6">
        <w:t xml:space="preserve">injury reporting </w:t>
      </w:r>
      <w:r w:rsidR="0006360E">
        <w:t xml:space="preserve">lag time </w:t>
      </w:r>
      <w:r w:rsidR="00334FE6">
        <w:t xml:space="preserve">from date of injury </w:t>
      </w:r>
      <w:r>
        <w:t>–</w:t>
      </w:r>
      <w:r w:rsidR="00334FE6">
        <w:t>to</w:t>
      </w:r>
      <w:r w:rsidR="00F51089">
        <w:t xml:space="preserve">- </w:t>
      </w:r>
      <w:r w:rsidR="00334FE6">
        <w:t xml:space="preserve">report </w:t>
      </w:r>
      <w:r>
        <w:t xml:space="preserve">being </w:t>
      </w:r>
      <w:r w:rsidR="00334FE6">
        <w:t xml:space="preserve">received </w:t>
      </w:r>
      <w:r>
        <w:t xml:space="preserve">by Human Resources </w:t>
      </w:r>
      <w:r w:rsidR="00334FE6">
        <w:t xml:space="preserve">with-in 48 hours.  By May 2016 the lag time has been reduced from 6.9 days –to- 3.8 days. SC to continue campaign during 2016-17 academic </w:t>
      </w:r>
      <w:proofErr w:type="gramStart"/>
      <w:r w:rsidR="00334FE6">
        <w:t>year</w:t>
      </w:r>
      <w:proofErr w:type="gramEnd"/>
      <w:r w:rsidR="00334FE6">
        <w:t xml:space="preserve">. </w:t>
      </w:r>
      <w:r w:rsidR="0006360E">
        <w:t xml:space="preserve">  </w:t>
      </w:r>
    </w:p>
    <w:p w:rsidR="002154E6" w:rsidRDefault="002154E6" w:rsidP="00BB05AE">
      <w:pPr>
        <w:numPr>
          <w:ilvl w:val="0"/>
          <w:numId w:val="13"/>
        </w:numPr>
        <w:ind w:hanging="180"/>
      </w:pPr>
      <w:r>
        <w:t>PLU’s Risk Manager provided information on majority of PLU auto accidents due to backing and misjudging clearance.  S</w:t>
      </w:r>
      <w:r w:rsidR="00400987">
        <w:t xml:space="preserve">C approved, as one of </w:t>
      </w:r>
      <w:r>
        <w:t>2015-16 goal</w:t>
      </w:r>
      <w:r w:rsidR="00400987">
        <w:t>s,</w:t>
      </w:r>
      <w:r>
        <w:t xml:space="preserve"> to reduce </w:t>
      </w:r>
      <w:r w:rsidR="00400987">
        <w:t xml:space="preserve">occurrences of </w:t>
      </w:r>
      <w:r>
        <w:t>vehicle accidents.</w:t>
      </w:r>
    </w:p>
    <w:p w:rsidR="0006360E" w:rsidRDefault="0006360E" w:rsidP="0006360E">
      <w:pPr>
        <w:pStyle w:val="ListParagraph"/>
        <w:numPr>
          <w:ilvl w:val="0"/>
          <w:numId w:val="13"/>
        </w:numPr>
        <w:ind w:hanging="180"/>
      </w:pPr>
      <w:r>
        <w:t xml:space="preserve">PLU SC’s recommendations for capital equipment (ergonomic office equipment) and capital improvement </w:t>
      </w:r>
      <w:r w:rsidRPr="007A117C">
        <w:t>construction</w:t>
      </w:r>
      <w:r>
        <w:t xml:space="preserve"> projects (removal of 10,000 gallon heating oil underground storage tank  at </w:t>
      </w:r>
      <w:proofErr w:type="spellStart"/>
      <w:r>
        <w:t>Rieke</w:t>
      </w:r>
      <w:proofErr w:type="spellEnd"/>
      <w:r>
        <w:t xml:space="preserve"> Science Center; installation of tread to concrete main stairway and a handrail for south exterior stairs for Mary Baker Russell; and install pedestrian crosswalk enhancements at intersections of 124</w:t>
      </w:r>
      <w:r w:rsidRPr="0006360E">
        <w:rPr>
          <w:vertAlign w:val="superscript"/>
        </w:rPr>
        <w:t>th</w:t>
      </w:r>
      <w:r>
        <w:t xml:space="preserve"> &amp; 10</w:t>
      </w:r>
      <w:r w:rsidRPr="0006360E">
        <w:rPr>
          <w:vertAlign w:val="superscript"/>
        </w:rPr>
        <w:t>th</w:t>
      </w:r>
      <w:r>
        <w:t xml:space="preserve"> Ave. and 121</w:t>
      </w:r>
      <w:r w:rsidRPr="0006360E">
        <w:rPr>
          <w:vertAlign w:val="superscript"/>
        </w:rPr>
        <w:t>st</w:t>
      </w:r>
      <w:r>
        <w:t xml:space="preserve"> &amp; Yakima Ave.) were included in the </w:t>
      </w:r>
      <w:r w:rsidR="00117C44">
        <w:t xml:space="preserve">2016-17 </w:t>
      </w:r>
      <w:r>
        <w:t xml:space="preserve">Environmental, Health, Safety &amp; Emergency Programs </w:t>
      </w:r>
      <w:r w:rsidR="00400987">
        <w:t xml:space="preserve">budget </w:t>
      </w:r>
      <w:r>
        <w:t xml:space="preserve">request spreadsheet.  </w:t>
      </w:r>
    </w:p>
    <w:p w:rsidR="00F51089" w:rsidRDefault="00F51089" w:rsidP="0006360E">
      <w:pPr>
        <w:pStyle w:val="ListParagraph"/>
        <w:numPr>
          <w:ilvl w:val="0"/>
          <w:numId w:val="13"/>
        </w:numPr>
        <w:ind w:hanging="180"/>
      </w:pPr>
      <w:r>
        <w:t xml:space="preserve">Coordinating efforts completing installation of exhaust fan and ductwork for School of Arts and Communication: Ceramics, Photography </w:t>
      </w:r>
      <w:r w:rsidR="00FE1342">
        <w:t>labs and Division of Natural Sciences: Greenhouse eyewash and roof snow jacks.</w:t>
      </w:r>
    </w:p>
    <w:p w:rsidR="0006360E" w:rsidRDefault="00AE35A8" w:rsidP="00BB05AE">
      <w:pPr>
        <w:numPr>
          <w:ilvl w:val="0"/>
          <w:numId w:val="13"/>
        </w:numPr>
        <w:ind w:hanging="180"/>
      </w:pPr>
      <w:r>
        <w:t xml:space="preserve">Due to increasing faculty representation demand the Chair of the </w:t>
      </w:r>
      <w:r>
        <w:t>Campus Life Committee (CLC)</w:t>
      </w:r>
      <w:r>
        <w:t xml:space="preserve"> from the </w:t>
      </w:r>
      <w:r>
        <w:t xml:space="preserve">Faculty Governance </w:t>
      </w:r>
      <w:r>
        <w:t xml:space="preserve">informed the </w:t>
      </w:r>
      <w:r w:rsidR="00334FE6">
        <w:t xml:space="preserve">SC </w:t>
      </w:r>
      <w:r>
        <w:t xml:space="preserve">they would be recommending removing faculty representation from PLU’s SC. SC </w:t>
      </w:r>
      <w:r w:rsidR="00334FE6">
        <w:t>representative presented</w:t>
      </w:r>
      <w:r>
        <w:t xml:space="preserve"> OSHA &amp; WISHA </w:t>
      </w:r>
      <w:r w:rsidR="00334FE6">
        <w:t xml:space="preserve">information </w:t>
      </w:r>
      <w:r>
        <w:t xml:space="preserve">as to </w:t>
      </w:r>
      <w:r w:rsidR="00334FE6">
        <w:t xml:space="preserve">the validity of faculty representation to the </w:t>
      </w:r>
      <w:r>
        <w:t>CLC</w:t>
      </w:r>
      <w:r w:rsidR="00334FE6">
        <w:t xml:space="preserve">.  </w:t>
      </w:r>
      <w:r>
        <w:t xml:space="preserve">Currently, </w:t>
      </w:r>
      <w:r w:rsidR="00334FE6">
        <w:t xml:space="preserve">CLC has </w:t>
      </w:r>
      <w:r>
        <w:t xml:space="preserve">postponed making a motion to remove their faculty member from the SC.  </w:t>
      </w:r>
      <w:r w:rsidR="00334FE6">
        <w:t xml:space="preserve"> </w:t>
      </w:r>
    </w:p>
    <w:p w:rsidR="002E7021" w:rsidRDefault="0056642E" w:rsidP="002E7021">
      <w:pPr>
        <w:numPr>
          <w:ilvl w:val="0"/>
          <w:numId w:val="13"/>
        </w:numPr>
        <w:ind w:hanging="180"/>
      </w:pPr>
      <w:r>
        <w:t xml:space="preserve">PLU </w:t>
      </w:r>
      <w:r w:rsidR="002C1558">
        <w:t xml:space="preserve">Safety Committee members </w:t>
      </w:r>
      <w:r w:rsidR="00EF1844">
        <w:t xml:space="preserve">sponsored </w:t>
      </w:r>
      <w:r w:rsidR="00FE1342">
        <w:t xml:space="preserve">Personal Safety and Security </w:t>
      </w:r>
      <w:r w:rsidR="002E7021">
        <w:t>Preparedness</w:t>
      </w:r>
      <w:r w:rsidR="00E920F8">
        <w:t xml:space="preserve"> </w:t>
      </w:r>
      <w:r w:rsidR="00EF1844">
        <w:t xml:space="preserve">tabling </w:t>
      </w:r>
      <w:r w:rsidR="00E920F8">
        <w:t xml:space="preserve">information </w:t>
      </w:r>
      <w:r w:rsidR="00EF1844">
        <w:t>at PLU</w:t>
      </w:r>
      <w:r w:rsidR="00E920F8">
        <w:t>’s</w:t>
      </w:r>
      <w:r w:rsidR="00EF1844">
        <w:t xml:space="preserve"> 201</w:t>
      </w:r>
      <w:r w:rsidR="00455F9F">
        <w:t>6</w:t>
      </w:r>
      <w:r w:rsidR="00EF1844">
        <w:t xml:space="preserve"> </w:t>
      </w:r>
      <w:r w:rsidR="00FE1342">
        <w:t xml:space="preserve">Human Resources </w:t>
      </w:r>
      <w:r w:rsidR="00EF1844">
        <w:t xml:space="preserve">Benefits Fair. </w:t>
      </w:r>
      <w:r w:rsidR="00BB05AE">
        <w:t xml:space="preserve"> </w:t>
      </w:r>
    </w:p>
    <w:p w:rsidR="000410AE" w:rsidRDefault="007A117C" w:rsidP="000912D5">
      <w:r w:rsidRPr="007A117C">
        <w:lastRenderedPageBreak/>
        <w:t>Monthly injury reports supplied by</w:t>
      </w:r>
      <w:r w:rsidR="001A6BD3">
        <w:t xml:space="preserve">: </w:t>
      </w:r>
      <w:r w:rsidR="0012161F">
        <w:t xml:space="preserve">Director of </w:t>
      </w:r>
      <w:r w:rsidRPr="007A117C">
        <w:t xml:space="preserve">Environmental, Health, Safety </w:t>
      </w:r>
      <w:r w:rsidR="0012161F">
        <w:t xml:space="preserve">&amp; Emergency Programs </w:t>
      </w:r>
      <w:r w:rsidR="001A6BD3">
        <w:t xml:space="preserve">and Human Resources - Employment </w:t>
      </w:r>
      <w:r w:rsidR="00D754EA">
        <w:t>Manager</w:t>
      </w:r>
      <w:r w:rsidR="001A6BD3">
        <w:t xml:space="preserve"> </w:t>
      </w:r>
      <w:r w:rsidRPr="007A117C">
        <w:t xml:space="preserve">were reviewed </w:t>
      </w:r>
      <w:r w:rsidR="00C56AF3">
        <w:t xml:space="preserve">and discussed </w:t>
      </w:r>
      <w:r w:rsidRPr="007A117C">
        <w:t>each month with various scenarios, follow-up investigations, and preventative measures</w:t>
      </w:r>
      <w:r w:rsidR="00C56AF3">
        <w:t xml:space="preserve">. </w:t>
      </w:r>
      <w:r w:rsidRPr="007A117C">
        <w:t>The 20</w:t>
      </w:r>
      <w:r w:rsidR="00436D0A">
        <w:t>1</w:t>
      </w:r>
      <w:r w:rsidR="009324D7">
        <w:t>5</w:t>
      </w:r>
      <w:r w:rsidR="008B1CFA">
        <w:t xml:space="preserve"> </w:t>
      </w:r>
      <w:r w:rsidR="00F21827">
        <w:t xml:space="preserve">calendar year </w:t>
      </w:r>
      <w:r w:rsidRPr="007A117C">
        <w:t xml:space="preserve">OSHA 300 Log submitted by PLU revealed </w:t>
      </w:r>
      <w:r w:rsidR="004F3EB3">
        <w:t>2</w:t>
      </w:r>
      <w:r w:rsidR="00BC39D1">
        <w:t>0</w:t>
      </w:r>
      <w:r w:rsidRPr="007A117C">
        <w:t xml:space="preserve"> reportable incidents/injur</w:t>
      </w:r>
      <w:r w:rsidR="00CC33CF">
        <w:t>y</w:t>
      </w:r>
      <w:r w:rsidR="00DD7158">
        <w:t xml:space="preserve"> </w:t>
      </w:r>
      <w:r w:rsidR="00CC33CF">
        <w:t>cases</w:t>
      </w:r>
      <w:r w:rsidR="00BC39D1">
        <w:t xml:space="preserve"> vs. 29 in 2014</w:t>
      </w:r>
      <w:r w:rsidR="00CC33CF">
        <w:t xml:space="preserve">. </w:t>
      </w:r>
    </w:p>
    <w:p w:rsidR="000410AE" w:rsidRDefault="000410AE" w:rsidP="007A117C"/>
    <w:p w:rsidR="004A39FC" w:rsidRDefault="007A117C" w:rsidP="004F3EB3">
      <w:r w:rsidRPr="007A117C">
        <w:t>Of the</w:t>
      </w:r>
      <w:r w:rsidR="00362090">
        <w:t xml:space="preserve"> 201</w:t>
      </w:r>
      <w:r w:rsidR="00BC39D1">
        <w:t>5</w:t>
      </w:r>
      <w:r w:rsidR="00462F90">
        <w:t xml:space="preserve"> </w:t>
      </w:r>
      <w:r w:rsidR="00B66065">
        <w:t xml:space="preserve">OSHA reportable </w:t>
      </w:r>
      <w:r w:rsidRPr="007A117C">
        <w:t>injuries</w:t>
      </w:r>
      <w:r w:rsidR="0012161F">
        <w:t xml:space="preserve">: </w:t>
      </w:r>
      <w:r w:rsidR="004A39FC">
        <w:t xml:space="preserve">seven </w:t>
      </w:r>
      <w:r w:rsidR="004A39FC" w:rsidRPr="007A117C">
        <w:t>involved</w:t>
      </w:r>
      <w:r w:rsidR="004A39FC">
        <w:t xml:space="preserve"> muscle/joint </w:t>
      </w:r>
      <w:r w:rsidR="004A39FC" w:rsidRPr="007A117C">
        <w:t>sprain or strain</w:t>
      </w:r>
      <w:r w:rsidR="004A39FC">
        <w:t>;</w:t>
      </w:r>
      <w:r w:rsidR="004A39FC">
        <w:t xml:space="preserve"> six </w:t>
      </w:r>
      <w:r w:rsidR="004A39FC" w:rsidRPr="007A117C">
        <w:t>were</w:t>
      </w:r>
      <w:r w:rsidR="004A39FC">
        <w:t xml:space="preserve"> due to impacts to/from an object</w:t>
      </w:r>
      <w:r w:rsidR="004A39FC">
        <w:t>; five</w:t>
      </w:r>
      <w:r w:rsidR="00E920F8">
        <w:t xml:space="preserve"> </w:t>
      </w:r>
      <w:r w:rsidR="001A35AF" w:rsidRPr="007A117C">
        <w:t>occurred from slip</w:t>
      </w:r>
      <w:r w:rsidR="00DD7158">
        <w:t>/</w:t>
      </w:r>
      <w:r w:rsidR="001A35AF" w:rsidRPr="007A117C">
        <w:t>trip/falls</w:t>
      </w:r>
      <w:r w:rsidR="0012161F">
        <w:t>;</w:t>
      </w:r>
      <w:r w:rsidR="00DD7158">
        <w:t xml:space="preserve"> </w:t>
      </w:r>
      <w:r w:rsidR="004A39FC">
        <w:t xml:space="preserve">one </w:t>
      </w:r>
      <w:r w:rsidR="00DD7158">
        <w:t xml:space="preserve">resulted from cut/punctures; and </w:t>
      </w:r>
      <w:r w:rsidR="00EE25CD">
        <w:t>one</w:t>
      </w:r>
      <w:r w:rsidR="00462F90">
        <w:t xml:space="preserve"> from </w:t>
      </w:r>
      <w:r w:rsidR="00F0574F">
        <w:t>a</w:t>
      </w:r>
      <w:r w:rsidR="00DD7158">
        <w:t xml:space="preserve"> </w:t>
      </w:r>
      <w:r w:rsidR="004A39FC">
        <w:t xml:space="preserve">burn. </w:t>
      </w:r>
    </w:p>
    <w:p w:rsidR="004F3EB3" w:rsidRDefault="007A117C" w:rsidP="004F3EB3">
      <w:pPr>
        <w:rPr>
          <w:u w:val="single"/>
        </w:rPr>
      </w:pPr>
      <w:r w:rsidRPr="007A117C">
        <w:t xml:space="preserve">A total of </w:t>
      </w:r>
      <w:r w:rsidR="004A39FC">
        <w:t xml:space="preserve">13 </w:t>
      </w:r>
      <w:r w:rsidRPr="007A117C">
        <w:t xml:space="preserve">days away from work and </w:t>
      </w:r>
      <w:r w:rsidR="004A39FC">
        <w:t xml:space="preserve">217 </w:t>
      </w:r>
      <w:r w:rsidRPr="007A117C">
        <w:t xml:space="preserve">days of restricted duty were recorded from an annual </w:t>
      </w:r>
      <w:r w:rsidR="004F3EB3">
        <w:t xml:space="preserve">average </w:t>
      </w:r>
      <w:r w:rsidRPr="007A117C">
        <w:t>number of 1,</w:t>
      </w:r>
      <w:r w:rsidR="004A39FC">
        <w:t>792</w:t>
      </w:r>
      <w:r w:rsidR="004F3EB3">
        <w:t xml:space="preserve"> </w:t>
      </w:r>
      <w:r w:rsidRPr="007A117C">
        <w:t>employees and 1,</w:t>
      </w:r>
      <w:r w:rsidR="004A39FC">
        <w:t xml:space="preserve">571,632 </w:t>
      </w:r>
      <w:r w:rsidRPr="007A117C">
        <w:t>total hours worked.</w:t>
      </w:r>
      <w:r w:rsidR="004F3EB3">
        <w:t xml:space="preserve"> </w:t>
      </w:r>
      <w:r w:rsidR="000912D5">
        <w:t xml:space="preserve"> </w:t>
      </w:r>
      <w:r w:rsidR="004F3EB3">
        <w:t>201</w:t>
      </w:r>
      <w:r w:rsidR="004A39FC">
        <w:t>5</w:t>
      </w:r>
      <w:r w:rsidR="004F3EB3">
        <w:t xml:space="preserve"> injury statistics revealed a reduction </w:t>
      </w:r>
      <w:r w:rsidR="00627A69">
        <w:t xml:space="preserve">from 2014 </w:t>
      </w:r>
      <w:r w:rsidR="00455F9F">
        <w:t xml:space="preserve">in Incident Rate (2.5 vs. 3.5), </w:t>
      </w:r>
      <w:r w:rsidR="004F3EB3">
        <w:t xml:space="preserve">Lost </w:t>
      </w:r>
      <w:r w:rsidR="004A39FC">
        <w:t xml:space="preserve">Time Cases (3 vs. 8) and Lost </w:t>
      </w:r>
      <w:r w:rsidR="004F3EB3">
        <w:t>Work Days (</w:t>
      </w:r>
      <w:r w:rsidR="004A39FC">
        <w:t>13</w:t>
      </w:r>
      <w:r w:rsidR="004F3EB3">
        <w:t xml:space="preserve"> vs. </w:t>
      </w:r>
      <w:r w:rsidR="004A39FC">
        <w:t>56</w:t>
      </w:r>
      <w:r w:rsidR="004F3EB3">
        <w:t>)</w:t>
      </w:r>
      <w:r w:rsidR="00627A69">
        <w:t xml:space="preserve">. </w:t>
      </w:r>
      <w:r w:rsidR="00455F9F">
        <w:t>PLU’</w:t>
      </w:r>
      <w:r w:rsidR="00627A69">
        <w:t xml:space="preserve">s 2015 </w:t>
      </w:r>
      <w:r w:rsidR="00455F9F">
        <w:t xml:space="preserve">overall Lost Time/Restricted </w:t>
      </w:r>
      <w:r w:rsidR="00627A69">
        <w:t>D</w:t>
      </w:r>
      <w:r w:rsidR="00455F9F">
        <w:t xml:space="preserve">uty Case Rate </w:t>
      </w:r>
      <w:r w:rsidR="00627A69">
        <w:t xml:space="preserve">is lower than OSHA’s 2014 National Average of all Universities (1.3 vs 1.5). </w:t>
      </w:r>
      <w:r w:rsidR="00455F9F">
        <w:t xml:space="preserve"> </w:t>
      </w:r>
    </w:p>
    <w:p w:rsidR="001A1971" w:rsidRPr="001A1971" w:rsidRDefault="001A1971" w:rsidP="001A1971">
      <w:pPr>
        <w:jc w:val="center"/>
        <w:rPr>
          <w:b/>
          <w:u w:val="single"/>
        </w:rPr>
      </w:pPr>
      <w:r w:rsidRPr="001A1971">
        <w:rPr>
          <w:b/>
          <w:u w:val="single"/>
        </w:rPr>
        <w:t>20</w:t>
      </w:r>
      <w:r w:rsidR="00362090">
        <w:rPr>
          <w:b/>
          <w:u w:val="single"/>
        </w:rPr>
        <w:t>1</w:t>
      </w:r>
      <w:r w:rsidR="00455F9F">
        <w:rPr>
          <w:b/>
          <w:u w:val="single"/>
        </w:rPr>
        <w:t>5</w:t>
      </w:r>
      <w:r w:rsidR="00BB05AE">
        <w:rPr>
          <w:b/>
          <w:u w:val="single"/>
        </w:rPr>
        <w:t>-201</w:t>
      </w:r>
      <w:r w:rsidR="00455F9F">
        <w:rPr>
          <w:b/>
          <w:u w:val="single"/>
        </w:rPr>
        <w:t>3</w:t>
      </w:r>
      <w:r w:rsidRPr="001A1971">
        <w:rPr>
          <w:b/>
          <w:u w:val="single"/>
        </w:rPr>
        <w:t xml:space="preserve"> </w:t>
      </w:r>
      <w:r w:rsidR="009B312B" w:rsidRPr="001A1971">
        <w:rPr>
          <w:b/>
          <w:u w:val="single"/>
        </w:rPr>
        <w:t xml:space="preserve">Incident/Injury Comparative </w:t>
      </w:r>
      <w:r w:rsidR="008B1CFA" w:rsidRPr="001A1971">
        <w:rPr>
          <w:b/>
          <w:u w:val="single"/>
        </w:rPr>
        <w:t>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250"/>
        <w:gridCol w:w="1738"/>
        <w:gridCol w:w="1682"/>
      </w:tblGrid>
      <w:tr w:rsidR="00BC39D1" w:rsidRPr="005A0744" w:rsidTr="00BC39D1">
        <w:tc>
          <w:tcPr>
            <w:tcW w:w="4968" w:type="dxa"/>
          </w:tcPr>
          <w:p w:rsidR="00BC39D1" w:rsidRPr="005A0744" w:rsidRDefault="00BC39D1" w:rsidP="00F600E0"/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 w:rsidRPr="005A0744">
              <w:t>201</w:t>
            </w:r>
            <w:r>
              <w:t>5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 w:rsidRPr="005A0744">
              <w:t>201</w:t>
            </w:r>
            <w:r>
              <w:t>4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201</w:t>
            </w:r>
            <w:r>
              <w:t>3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>
              <w:t>Annual Average Number Employees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1,792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1,881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1,909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>
              <w:t>Total Number of Hours Worked</w:t>
            </w:r>
            <w:r w:rsidRPr="005A0744">
              <w:t xml:space="preserve">         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1,571,632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1,647,469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1,697,457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>
              <w:t xml:space="preserve">* </w:t>
            </w:r>
            <w:r w:rsidRPr="005A0744">
              <w:t xml:space="preserve">Incident Rate </w:t>
            </w:r>
            <w:r>
              <w:t xml:space="preserve">     </w:t>
            </w:r>
            <w:r w:rsidRPr="005A0744">
              <w:t>(201</w:t>
            </w:r>
            <w:r>
              <w:t>4</w:t>
            </w:r>
            <w:r w:rsidRPr="005A0744">
              <w:t xml:space="preserve"> All Universities = </w:t>
            </w:r>
            <w:r>
              <w:t>4.1)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2.5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3.5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2.1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>
              <w:t>*</w:t>
            </w:r>
            <w:r w:rsidRPr="005A0744">
              <w:t xml:space="preserve">*LTCR         </w:t>
            </w:r>
            <w:r>
              <w:t xml:space="preserve">     </w:t>
            </w:r>
            <w:r w:rsidRPr="005A0744">
              <w:t xml:space="preserve"> </w:t>
            </w:r>
            <w:r>
              <w:t xml:space="preserve"> </w:t>
            </w:r>
            <w:r w:rsidRPr="005A0744">
              <w:t>(201</w:t>
            </w:r>
            <w:r>
              <w:t>4</w:t>
            </w:r>
            <w:r w:rsidRPr="005A0744">
              <w:t xml:space="preserve"> All Universities = </w:t>
            </w:r>
            <w:r>
              <w:t>1.0)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0.4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1.0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0.8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>
              <w:t>*</w:t>
            </w:r>
            <w:r w:rsidRPr="005A0744">
              <w:t xml:space="preserve">**RDCR       </w:t>
            </w:r>
            <w:r>
              <w:t xml:space="preserve">       </w:t>
            </w:r>
            <w:r w:rsidRPr="005A0744">
              <w:t>(201</w:t>
            </w:r>
            <w:r>
              <w:t>4</w:t>
            </w:r>
            <w:r w:rsidRPr="005A0744">
              <w:t xml:space="preserve"> All Universities = 0.</w:t>
            </w:r>
            <w:r>
              <w:t>5)</w:t>
            </w:r>
            <w:r w:rsidRPr="005A0744">
              <w:t xml:space="preserve"> 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0.9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0.5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>
              <w:t>0.5</w:t>
            </w:r>
          </w:p>
        </w:tc>
      </w:tr>
      <w:tr w:rsidR="00BC39D1" w:rsidRPr="005A0744" w:rsidTr="00BC39D1">
        <w:tc>
          <w:tcPr>
            <w:tcW w:w="4968" w:type="dxa"/>
          </w:tcPr>
          <w:p w:rsidR="00BC39D1" w:rsidRPr="005A0744" w:rsidRDefault="00BC39D1" w:rsidP="00F600E0">
            <w:r w:rsidRPr="005A0744">
              <w:t>LT/RD Case Rate (201</w:t>
            </w:r>
            <w:r>
              <w:t>4</w:t>
            </w:r>
            <w:r w:rsidRPr="005A0744">
              <w:t xml:space="preserve"> All Universities = </w:t>
            </w:r>
            <w:r>
              <w:t>1.5</w:t>
            </w:r>
            <w:r w:rsidRPr="005A0744">
              <w:t xml:space="preserve">)       </w:t>
            </w:r>
          </w:p>
        </w:tc>
        <w:tc>
          <w:tcPr>
            <w:tcW w:w="2250" w:type="dxa"/>
          </w:tcPr>
          <w:p w:rsidR="00BC39D1" w:rsidRPr="005A0744" w:rsidRDefault="00BC39D1" w:rsidP="00BC39D1">
            <w:pPr>
              <w:jc w:val="center"/>
            </w:pPr>
            <w:r>
              <w:t>1.3</w:t>
            </w:r>
          </w:p>
        </w:tc>
        <w:tc>
          <w:tcPr>
            <w:tcW w:w="1738" w:type="dxa"/>
          </w:tcPr>
          <w:p w:rsidR="00BC39D1" w:rsidRPr="005A0744" w:rsidRDefault="00BC39D1" w:rsidP="00BC39D1">
            <w:pPr>
              <w:jc w:val="center"/>
            </w:pPr>
            <w:r>
              <w:t>1.5</w:t>
            </w:r>
          </w:p>
        </w:tc>
        <w:tc>
          <w:tcPr>
            <w:tcW w:w="1682" w:type="dxa"/>
          </w:tcPr>
          <w:p w:rsidR="00BC39D1" w:rsidRPr="005A0744" w:rsidRDefault="00BC39D1" w:rsidP="00BC39D1">
            <w:pPr>
              <w:jc w:val="center"/>
            </w:pPr>
            <w:r w:rsidRPr="005A0744">
              <w:t>1.</w:t>
            </w:r>
            <w:r>
              <w:t>3</w:t>
            </w:r>
          </w:p>
        </w:tc>
      </w:tr>
      <w:tr w:rsidR="00BC39D1" w:rsidRPr="005A0744" w:rsidTr="0039668A">
        <w:tc>
          <w:tcPr>
            <w:tcW w:w="10638" w:type="dxa"/>
            <w:gridSpan w:val="4"/>
          </w:tcPr>
          <w:p w:rsidR="00BC39D1" w:rsidRDefault="00BC39D1" w:rsidP="00BC39D1">
            <w:pPr>
              <w:rPr>
                <w:u w:val="single"/>
              </w:rPr>
            </w:pPr>
            <w:r w:rsidRPr="005A0744">
              <w:rPr>
                <w:u w:val="single"/>
              </w:rPr>
              <w:t>Key</w:t>
            </w:r>
          </w:p>
          <w:p w:rsidR="00BC39D1" w:rsidRPr="00BC39D1" w:rsidRDefault="00BC39D1" w:rsidP="00BC39D1">
            <w:pPr>
              <w:rPr>
                <w:u w:val="single"/>
              </w:rPr>
            </w:pPr>
            <w:r>
              <w:t xml:space="preserve">*       Incident Rate = OSHA Recordable Cases </w:t>
            </w:r>
            <w:r w:rsidRPr="005A0744">
              <w:t xml:space="preserve"> </w:t>
            </w:r>
            <w:r>
              <w:t xml:space="preserve"> </w:t>
            </w:r>
            <w:r w:rsidR="00117C44">
              <w:t xml:space="preserve">    </w:t>
            </w:r>
            <w:r>
              <w:t xml:space="preserve">**     </w:t>
            </w:r>
            <w:r w:rsidRPr="005A0744">
              <w:t xml:space="preserve">Lost Time Case Rate = LTCR          </w:t>
            </w:r>
          </w:p>
          <w:p w:rsidR="00BC39D1" w:rsidRDefault="00BC39D1" w:rsidP="00BC39D1">
            <w:r>
              <w:t>*</w:t>
            </w:r>
            <w:r w:rsidRPr="005A0744">
              <w:t xml:space="preserve">** </w:t>
            </w:r>
            <w:r>
              <w:t xml:space="preserve">  </w:t>
            </w:r>
            <w:r w:rsidRPr="005A0744">
              <w:t>Restricted Duty Case Rate = RDCR</w:t>
            </w:r>
          </w:p>
        </w:tc>
      </w:tr>
    </w:tbl>
    <w:p w:rsidR="00362090" w:rsidRDefault="00362090" w:rsidP="00362090">
      <w:pPr>
        <w:rPr>
          <w:u w:val="single"/>
        </w:rPr>
      </w:pPr>
    </w:p>
    <w:p w:rsidR="00C32974" w:rsidRDefault="002F0F3E" w:rsidP="007A117C">
      <w:r>
        <w:t xml:space="preserve">PLU’s Safety Committee is </w:t>
      </w:r>
      <w:r w:rsidR="00236C8F" w:rsidRPr="007A117C">
        <w:t>comprised of 10 members</w:t>
      </w:r>
      <w:r w:rsidR="00FA7DB5">
        <w:t xml:space="preserve"> with a</w:t>
      </w:r>
      <w:r w:rsidR="00875DF9">
        <w:t>n equal number of a</w:t>
      </w:r>
      <w:r w:rsidR="00236C8F" w:rsidRPr="007A117C">
        <w:t xml:space="preserve">ppointed </w:t>
      </w:r>
      <w:r w:rsidR="00875DF9">
        <w:t xml:space="preserve">and elected </w:t>
      </w:r>
      <w:r w:rsidR="00236C8F" w:rsidRPr="007A117C">
        <w:t>positions</w:t>
      </w:r>
      <w:r w:rsidR="00FA7DB5">
        <w:t>.</w:t>
      </w:r>
      <w:r w:rsidR="00236C8F" w:rsidRPr="007A117C">
        <w:t xml:space="preserve"> </w:t>
      </w:r>
      <w:r w:rsidR="00FA7DB5">
        <w:t xml:space="preserve"> The departments </w:t>
      </w:r>
      <w:r w:rsidR="00413F71">
        <w:t xml:space="preserve">were </w:t>
      </w:r>
      <w:r w:rsidR="00FA7DB5">
        <w:t xml:space="preserve">determined by highest risk, highest number of incidents/injuries, and those that can represent </w:t>
      </w:r>
      <w:r w:rsidR="00FA7DB5" w:rsidRPr="007A117C">
        <w:t>students, staff</w:t>
      </w:r>
      <w:r w:rsidR="00FA7DB5">
        <w:t>,</w:t>
      </w:r>
      <w:r w:rsidR="00FA7DB5" w:rsidRPr="007A117C">
        <w:t xml:space="preserve"> and faculty</w:t>
      </w:r>
      <w:r w:rsidR="00FA7DB5">
        <w:t xml:space="preserve">.  These departments include: </w:t>
      </w:r>
      <w:r w:rsidR="0096561A">
        <w:t>Athletics; ASPLU;</w:t>
      </w:r>
      <w:r w:rsidR="00413F71">
        <w:t xml:space="preserve"> </w:t>
      </w:r>
      <w:r w:rsidR="0096561A">
        <w:t>Campus Safety;</w:t>
      </w:r>
      <w:r w:rsidR="00236C8F" w:rsidRPr="007A117C">
        <w:t xml:space="preserve"> </w:t>
      </w:r>
      <w:r w:rsidR="0096561A">
        <w:t>Dining Services;</w:t>
      </w:r>
      <w:r w:rsidR="00FA7DB5">
        <w:t xml:space="preserve"> Environmental</w:t>
      </w:r>
      <w:r w:rsidR="0096561A">
        <w:t>,</w:t>
      </w:r>
      <w:r w:rsidR="00413F71">
        <w:t xml:space="preserve"> Health</w:t>
      </w:r>
      <w:r w:rsidR="0096561A">
        <w:t>,</w:t>
      </w:r>
      <w:r w:rsidR="00413F71">
        <w:t xml:space="preserve"> Safety</w:t>
      </w:r>
      <w:r w:rsidR="0096561A">
        <w:t xml:space="preserve"> &amp; Emergency Programs; </w:t>
      </w:r>
      <w:r w:rsidR="00236C8F" w:rsidRPr="007A117C">
        <w:t>Facilities Managemen</w:t>
      </w:r>
      <w:r w:rsidR="0096561A">
        <w:t>t;</w:t>
      </w:r>
      <w:r w:rsidR="00236C8F" w:rsidRPr="007A117C">
        <w:t xml:space="preserve"> </w:t>
      </w:r>
      <w:r w:rsidR="0096561A">
        <w:t>Faculty;</w:t>
      </w:r>
      <w:r w:rsidR="00413F71">
        <w:t xml:space="preserve"> </w:t>
      </w:r>
      <w:r w:rsidR="00236C8F" w:rsidRPr="007A117C">
        <w:t>Human Resources</w:t>
      </w:r>
      <w:r w:rsidR="0096561A">
        <w:t>;</w:t>
      </w:r>
      <w:r w:rsidR="00236C8F">
        <w:t xml:space="preserve"> </w:t>
      </w:r>
      <w:r w:rsidR="00413F71">
        <w:t>Natural</w:t>
      </w:r>
      <w:r w:rsidR="00FA7DB5">
        <w:t xml:space="preserve"> Sciences</w:t>
      </w:r>
      <w:r w:rsidR="0096561A">
        <w:t>;</w:t>
      </w:r>
      <w:r w:rsidR="00FA7DB5">
        <w:t xml:space="preserve"> and Residential Life</w:t>
      </w:r>
      <w:r w:rsidR="00875DF9">
        <w:t>.</w:t>
      </w:r>
    </w:p>
    <w:p w:rsidR="0096561A" w:rsidRPr="00400987" w:rsidRDefault="0096561A" w:rsidP="007A117C">
      <w:pPr>
        <w:rPr>
          <w:sz w:val="16"/>
          <w:szCs w:val="16"/>
        </w:rPr>
      </w:pPr>
    </w:p>
    <w:p w:rsidR="009268DF" w:rsidRPr="0065191D" w:rsidRDefault="00E16B65" w:rsidP="00E16B65">
      <w:pPr>
        <w:jc w:val="center"/>
      </w:pPr>
      <w:r w:rsidRPr="0065191D">
        <w:rPr>
          <w:b/>
          <w:bCs/>
          <w:sz w:val="28"/>
          <w:szCs w:val="28"/>
        </w:rPr>
        <w:t>201</w:t>
      </w:r>
      <w:r w:rsidR="009324D7">
        <w:rPr>
          <w:b/>
          <w:bCs/>
          <w:sz w:val="28"/>
          <w:szCs w:val="28"/>
        </w:rPr>
        <w:t>5</w:t>
      </w:r>
      <w:r w:rsidRPr="0065191D">
        <w:rPr>
          <w:b/>
          <w:bCs/>
          <w:sz w:val="28"/>
          <w:szCs w:val="28"/>
        </w:rPr>
        <w:t>-201</w:t>
      </w:r>
      <w:r w:rsidR="009324D7">
        <w:rPr>
          <w:b/>
          <w:bCs/>
          <w:sz w:val="28"/>
          <w:szCs w:val="28"/>
        </w:rPr>
        <w:t>6</w:t>
      </w:r>
      <w:r w:rsidRPr="0065191D">
        <w:rPr>
          <w:b/>
          <w:bCs/>
          <w:sz w:val="28"/>
          <w:szCs w:val="28"/>
        </w:rPr>
        <w:t xml:space="preserve"> Safety Committee Members</w:t>
      </w:r>
    </w:p>
    <w:tbl>
      <w:tblPr>
        <w:tblW w:w="1108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5"/>
        <w:gridCol w:w="824"/>
        <w:gridCol w:w="718"/>
        <w:gridCol w:w="1878"/>
        <w:gridCol w:w="2340"/>
        <w:gridCol w:w="1260"/>
        <w:gridCol w:w="1980"/>
      </w:tblGrid>
      <w:tr w:rsidR="00FA7DB5" w:rsidRPr="00980C64" w:rsidTr="00B90648">
        <w:trPr>
          <w:trHeight w:val="72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E16B65" w:rsidRPr="00980C64" w:rsidRDefault="00FA7DB5" w:rsidP="00980C6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First </w:t>
            </w:r>
            <w:r w:rsidR="00E16B65"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Year of Service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Type </w:t>
            </w:r>
            <w:r w:rsidR="00FA7DB5" w:rsidRPr="00980C64">
              <w:rPr>
                <w:rFonts w:ascii="Arial Narrow" w:hAnsi="Arial Narrow" w:cs="Arial"/>
                <w:b/>
                <w:sz w:val="20"/>
                <w:szCs w:val="20"/>
              </w:rPr>
              <w:t>(Does Not Change</w:t>
            </w:r>
            <w:r w:rsidRPr="00980C6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Representing</w:t>
            </w:r>
          </w:p>
        </w:tc>
      </w:tr>
      <w:tr w:rsidR="00FA7DB5" w:rsidRPr="00980C64" w:rsidTr="00B90648">
        <w:trPr>
          <w:trHeight w:val="315"/>
        </w:trPr>
        <w:tc>
          <w:tcPr>
            <w:tcW w:w="2085" w:type="dxa"/>
            <w:shd w:val="clear" w:color="000000" w:fill="FF9900"/>
            <w:noWrap/>
            <w:vAlign w:val="center"/>
            <w:hideMark/>
          </w:tcPr>
          <w:p w:rsidR="00FA7DB5" w:rsidRPr="00980C64" w:rsidRDefault="00FA7DB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</w:rPr>
            </w:pPr>
          </w:p>
        </w:tc>
      </w:tr>
      <w:tr w:rsidR="00FA7DB5" w:rsidRPr="00980C64" w:rsidTr="00B90648">
        <w:trPr>
          <w:trHeight w:val="4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Weaving, Jason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D03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031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7441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weavinjm@plu.edu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Campus Safety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9C32FD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Campus Safety</w:t>
            </w:r>
            <w:r w:rsidR="009C32FD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  <w:p w:rsidR="00E16B65" w:rsidRPr="00980C64" w:rsidRDefault="00C745C6" w:rsidP="00C745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r w:rsidR="009C32FD">
              <w:rPr>
                <w:rFonts w:ascii="Arial Narrow" w:hAnsi="Arial Narrow" w:cs="Arial"/>
                <w:sz w:val="20"/>
                <w:szCs w:val="20"/>
              </w:rPr>
              <w:t>Chair</w:t>
            </w:r>
          </w:p>
        </w:tc>
      </w:tr>
      <w:tr w:rsidR="00FA7DB5" w:rsidRPr="00980C64" w:rsidTr="00B90648">
        <w:trPr>
          <w:trHeight w:val="5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Harvey, Tom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7476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harveytj@plu.edu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Retail Operations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Dining &amp; Culinary Services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Butler, Yvonne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D03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031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7380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butlerym@plu.edu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Grounds Management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C32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Facilities Management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Fuhrman, Laura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8325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972B82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16B65" w:rsidRPr="00980C64">
                <w:rPr>
                  <w:rStyle w:val="Hyperlink"/>
                  <w:rFonts w:ascii="Arial Narrow" w:hAnsi="Arial Narrow"/>
                  <w:sz w:val="20"/>
                  <w:szCs w:val="20"/>
                </w:rPr>
                <w:t>fuhrmala@plu.edu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D754EA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Human Resources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C745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Human Resources</w:t>
            </w:r>
          </w:p>
        </w:tc>
      </w:tr>
      <w:tr w:rsidR="00FA7DB5" w:rsidRPr="00980C64" w:rsidTr="00B90648">
        <w:trPr>
          <w:trHeight w:val="51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Bell, Joe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7233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972B82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E16B65" w:rsidRPr="00980C64">
                <w:rPr>
                  <w:rStyle w:val="Hyperlink"/>
                  <w:rFonts w:ascii="Arial Narrow" w:hAnsi="Arial Narrow"/>
                  <w:sz w:val="20"/>
                  <w:szCs w:val="20"/>
                </w:rPr>
                <w:t>bellje@plu.edu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Finance &amp; </w:t>
            </w:r>
            <w:r>
              <w:rPr>
                <w:rFonts w:ascii="Arial Narrow" w:hAnsi="Arial Narrow" w:cs="Arial"/>
                <w:sz w:val="20"/>
                <w:szCs w:val="20"/>
              </w:rPr>
              <w:t>Administration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592A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Environmental, Health</w:t>
            </w:r>
            <w:r w:rsidR="00592A1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  Safety</w:t>
            </w:r>
            <w:r w:rsidR="00592A14">
              <w:rPr>
                <w:rFonts w:ascii="Arial Narrow" w:hAnsi="Arial Narrow" w:cs="Arial"/>
                <w:sz w:val="20"/>
                <w:szCs w:val="20"/>
              </w:rPr>
              <w:t xml:space="preserve"> &amp; Emergency Programs</w:t>
            </w:r>
          </w:p>
        </w:tc>
      </w:tr>
      <w:tr w:rsidR="00FA7DB5" w:rsidRPr="00980C64" w:rsidTr="00B90648">
        <w:trPr>
          <w:trHeight w:val="315"/>
        </w:trPr>
        <w:tc>
          <w:tcPr>
            <w:tcW w:w="2085" w:type="dxa"/>
            <w:shd w:val="clear" w:color="000000" w:fill="FF9900"/>
            <w:vAlign w:val="center"/>
            <w:hideMark/>
          </w:tcPr>
          <w:p w:rsidR="00FA7DB5" w:rsidRPr="00980C64" w:rsidRDefault="00FA7DB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</w:rPr>
            </w:pP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585D9F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Ellie Lapp</w:t>
            </w:r>
          </w:p>
          <w:p w:rsidR="009324D7" w:rsidRDefault="009324D7" w:rsidP="00980C64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Schumaker</w:t>
            </w:r>
            <w:proofErr w:type="spellEnd"/>
          </w:p>
          <w:p w:rsidR="009324D7" w:rsidRPr="00980C64" w:rsidRDefault="009324D7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Bethany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Piehl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85D9F" w:rsidRPr="00980C64" w:rsidRDefault="009C32FD" w:rsidP="00585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92A14" w:rsidRPr="00980C64" w:rsidRDefault="00592A14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7480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85D9F" w:rsidRPr="00980C64" w:rsidRDefault="009324D7" w:rsidP="009324D7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asplu@plu.edu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ASPLU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C745C6" w:rsidP="00C745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PLU Student Employees</w:t>
            </w:r>
          </w:p>
        </w:tc>
      </w:tr>
      <w:tr w:rsidR="00FA7DB5" w:rsidRPr="00980C64" w:rsidTr="00B90648">
        <w:trPr>
          <w:trHeight w:val="2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Gunther, Aaron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7366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guntheam@plu.edu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Athletics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Athletics</w:t>
            </w:r>
          </w:p>
        </w:tc>
      </w:tr>
      <w:tr w:rsidR="00B90648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Esmiol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Elisabeth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7599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B90648" w:rsidRPr="00980C64" w:rsidRDefault="00972B82" w:rsidP="00B90648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90648" w:rsidRPr="008E5C4A">
                <w:rPr>
                  <w:rStyle w:val="Hyperlink"/>
                  <w:rFonts w:ascii="Arial Narrow" w:hAnsi="Arial Narrow"/>
                  <w:sz w:val="20"/>
                  <w:szCs w:val="20"/>
                </w:rPr>
                <w:t>esmiolev@plu.edu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Marriage &amp; Family Therapy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Faculty</w:t>
            </w: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A7DB5" w:rsidRPr="00980C64" w:rsidTr="00B90648">
        <w:trPr>
          <w:trHeight w:val="27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Lee,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Hakme</w:t>
            </w:r>
            <w:proofErr w:type="spellEnd"/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B90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7558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972B82" w:rsidP="004A3451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A3451" w:rsidRPr="008E5C4A">
                <w:rPr>
                  <w:rStyle w:val="Hyperlink"/>
                  <w:rFonts w:ascii="Arial Narrow" w:hAnsi="Arial Narrow"/>
                  <w:sz w:val="20"/>
                  <w:szCs w:val="20"/>
                </w:rPr>
                <w:t>leehc@plu.edu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4A3451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Chemistry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C745C6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Natural Sciences</w:t>
            </w:r>
            <w:r w:rsidR="00C745C6">
              <w:rPr>
                <w:rFonts w:ascii="Arial Narrow" w:hAnsi="Arial Narrow" w:cs="Arial"/>
                <w:sz w:val="20"/>
                <w:szCs w:val="20"/>
              </w:rPr>
              <w:t xml:space="preserve">;      </w:t>
            </w:r>
          </w:p>
          <w:p w:rsidR="00E16B65" w:rsidRPr="00980C64" w:rsidRDefault="00C745C6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*Co-Chair</w:t>
            </w:r>
          </w:p>
        </w:tc>
      </w:tr>
      <w:tr w:rsidR="00FA7DB5" w:rsidRPr="00980C64" w:rsidTr="00B90648">
        <w:trPr>
          <w:trHeight w:val="2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D0315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Hammerquist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Dan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585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585D9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8349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F0574F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hammer</w:t>
            </w:r>
            <w:r w:rsidR="00585D9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e</w:t>
            </w:r>
            <w:r w:rsidR="00585D9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Residential Life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Residential Life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000000" w:fill="FF9900"/>
            <w:vAlign w:val="center"/>
            <w:hideMark/>
          </w:tcPr>
          <w:p w:rsidR="00FA7DB5" w:rsidRPr="00980C64" w:rsidRDefault="006765D8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ADVISORY</w:t>
            </w:r>
            <w:r w:rsidR="00FA7DB5" w:rsidRPr="00980C64">
              <w:rPr>
                <w:rFonts w:ascii="Arial Narrow" w:hAnsi="Arial Narrow" w:cs="Arial"/>
                <w:sz w:val="20"/>
                <w:szCs w:val="20"/>
              </w:rPr>
              <w:t xml:space="preserve">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4A345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Toni</w:t>
            </w:r>
            <w:r w:rsidR="004A3451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nn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Johnson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4A3451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7807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johnsotc@plu.edu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of Arts &amp; Communication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9C32FD" w:rsidP="00C745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School of Arts &amp; Communication: </w:t>
            </w:r>
            <w:r w:rsidR="00C745C6">
              <w:rPr>
                <w:rFonts w:ascii="Arial Narrow" w:hAnsi="Arial Narrow" w:cs="Arial"/>
                <w:sz w:val="20"/>
                <w:szCs w:val="20"/>
              </w:rPr>
              <w:t xml:space="preserve">           *</w:t>
            </w:r>
            <w:r>
              <w:rPr>
                <w:rFonts w:ascii="Arial Narrow" w:hAnsi="Arial Narrow" w:cs="Arial"/>
                <w:sz w:val="20"/>
                <w:szCs w:val="20"/>
              </w:rPr>
              <w:t>Secretary</w:t>
            </w:r>
          </w:p>
        </w:tc>
      </w:tr>
      <w:tr w:rsidR="009C32FD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Liden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Sue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7116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lidensj@plu.edu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9C32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Finance &amp; </w:t>
            </w:r>
            <w:r>
              <w:rPr>
                <w:rFonts w:ascii="Arial Narrow" w:hAnsi="Arial Narrow" w:cs="Arial"/>
                <w:sz w:val="20"/>
                <w:szCs w:val="20"/>
              </w:rPr>
              <w:t>Administration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Risk Management</w:t>
            </w:r>
          </w:p>
        </w:tc>
      </w:tr>
      <w:tr w:rsidR="009C32FD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Pepin, Christina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769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pendracr@plu.edu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School of Nursing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Nursing</w:t>
            </w:r>
          </w:p>
        </w:tc>
      </w:tr>
    </w:tbl>
    <w:p w:rsidR="00436D0A" w:rsidRDefault="00436D0A" w:rsidP="007A117C"/>
    <w:p w:rsidR="00220C9B" w:rsidRDefault="005F767D" w:rsidP="007A117C">
      <w:r>
        <w:t xml:space="preserve">The Safety Committee would </w:t>
      </w:r>
      <w:r w:rsidR="00980C64">
        <w:t xml:space="preserve">like to thank </w:t>
      </w:r>
      <w:r>
        <w:t xml:space="preserve">Sue </w:t>
      </w:r>
      <w:proofErr w:type="spellStart"/>
      <w:r>
        <w:t>Liden</w:t>
      </w:r>
      <w:proofErr w:type="spellEnd"/>
      <w:r w:rsidR="009324D7">
        <w:t xml:space="preserve">; </w:t>
      </w:r>
      <w:r w:rsidR="00B90648">
        <w:t xml:space="preserve">Director Risk </w:t>
      </w:r>
      <w:r w:rsidR="004A3451">
        <w:t>Management &amp; Insurance</w:t>
      </w:r>
      <w:r w:rsidR="009324D7">
        <w:t>,</w:t>
      </w:r>
      <w:r>
        <w:t xml:space="preserve"> </w:t>
      </w:r>
      <w:r w:rsidR="008B4F79">
        <w:t>Christina Pepin</w:t>
      </w:r>
      <w:r w:rsidR="009324D7">
        <w:t xml:space="preserve"> and Cynthia </w:t>
      </w:r>
      <w:proofErr w:type="spellStart"/>
      <w:r w:rsidR="009324D7">
        <w:t>Wolfer</w:t>
      </w:r>
      <w:proofErr w:type="spellEnd"/>
      <w:r w:rsidR="009324D7">
        <w:t xml:space="preserve">; </w:t>
      </w:r>
      <w:r w:rsidR="008B4F79">
        <w:t>School of Nursing</w:t>
      </w:r>
      <w:r w:rsidR="009324D7">
        <w:t>,</w:t>
      </w:r>
      <w:r w:rsidR="004A3451">
        <w:t xml:space="preserve"> and </w:t>
      </w:r>
      <w:proofErr w:type="spellStart"/>
      <w:r w:rsidR="004A3451">
        <w:t>ToniAnn</w:t>
      </w:r>
      <w:proofErr w:type="spellEnd"/>
      <w:r w:rsidR="004A3451">
        <w:t xml:space="preserve"> Johnson</w:t>
      </w:r>
      <w:r w:rsidR="008B4F79">
        <w:t xml:space="preserve"> </w:t>
      </w:r>
      <w:r w:rsidR="009324D7">
        <w:t xml:space="preserve">; School of Arts and Communication </w:t>
      </w:r>
      <w:r w:rsidR="00220C9B">
        <w:t>for their regular support and contributions to PLU’s Safety Committee meetings.</w:t>
      </w:r>
    </w:p>
    <w:p w:rsidR="005F767D" w:rsidRDefault="005F767D" w:rsidP="007A117C"/>
    <w:p w:rsidR="007A117C" w:rsidRDefault="007A117C" w:rsidP="007A117C">
      <w:r w:rsidRPr="007A117C">
        <w:t xml:space="preserve">The </w:t>
      </w:r>
      <w:r w:rsidR="00220C9B">
        <w:t xml:space="preserve">PLU </w:t>
      </w:r>
      <w:r w:rsidRPr="007A117C">
        <w:t>Safety Committee would</w:t>
      </w:r>
      <w:r w:rsidR="00980C64">
        <w:t xml:space="preserve"> </w:t>
      </w:r>
      <w:r w:rsidRPr="007A117C">
        <w:t xml:space="preserve">like to recognize the Facilities </w:t>
      </w:r>
      <w:r w:rsidR="004A3451" w:rsidRPr="009C4CAD">
        <w:t xml:space="preserve">Management </w:t>
      </w:r>
      <w:r w:rsidR="00F51089">
        <w:t>Technical, Trade</w:t>
      </w:r>
      <w:r w:rsidR="00F51089" w:rsidRPr="009C4CAD">
        <w:t>,</w:t>
      </w:r>
      <w:r w:rsidRPr="009C4CAD">
        <w:t xml:space="preserve"> Grounds, Custodial</w:t>
      </w:r>
      <w:r w:rsidR="00F51089">
        <w:t xml:space="preserve">, and Sustainability </w:t>
      </w:r>
      <w:r w:rsidRPr="009C4CAD">
        <w:t>staff for their diligent work</w:t>
      </w:r>
      <w:r w:rsidR="00F51089">
        <w:t xml:space="preserve"> responding to and managing environmental, health and </w:t>
      </w:r>
      <w:r w:rsidRPr="009C4CAD">
        <w:t xml:space="preserve">life safety risks.  Campus Safety is commended for continuing </w:t>
      </w:r>
      <w:r w:rsidR="00CC33CF" w:rsidRPr="009C4CAD">
        <w:t xml:space="preserve">PLU’s </w:t>
      </w:r>
      <w:r w:rsidRPr="009C4CAD">
        <w:t xml:space="preserve">Escort Service, which runs </w:t>
      </w:r>
      <w:r w:rsidR="004A3451" w:rsidRPr="009C4CAD">
        <w:t>thru the academic year from 4</w:t>
      </w:r>
      <w:r w:rsidR="0096561A" w:rsidRPr="009C4CAD">
        <w:t xml:space="preserve"> </w:t>
      </w:r>
      <w:r w:rsidR="004A3451" w:rsidRPr="009C4CAD">
        <w:t>PM to 3 AM</w:t>
      </w:r>
      <w:r w:rsidR="009324D7">
        <w:t xml:space="preserve"> /</w:t>
      </w:r>
      <w:r w:rsidR="0096561A" w:rsidRPr="009C4CAD">
        <w:t xml:space="preserve"> </w:t>
      </w:r>
      <w:r w:rsidRPr="009C4CAD">
        <w:t>7</w:t>
      </w:r>
      <w:r w:rsidR="0096561A" w:rsidRPr="009C4CAD">
        <w:t xml:space="preserve"> days a week providing </w:t>
      </w:r>
      <w:r w:rsidR="00CC33CF" w:rsidRPr="009C4CAD">
        <w:t>~</w:t>
      </w:r>
      <w:r w:rsidR="00455F9F">
        <w:t>3,800</w:t>
      </w:r>
      <w:r w:rsidR="0096561A" w:rsidRPr="009C4CAD">
        <w:t xml:space="preserve"> </w:t>
      </w:r>
      <w:r w:rsidR="00CC33CF" w:rsidRPr="009C4CAD">
        <w:t xml:space="preserve">rides </w:t>
      </w:r>
      <w:r w:rsidR="00455F9F">
        <w:t xml:space="preserve">annually </w:t>
      </w:r>
      <w:r w:rsidRPr="009C4CAD">
        <w:t>for</w:t>
      </w:r>
      <w:r w:rsidR="00980C64" w:rsidRPr="009C4CAD">
        <w:t xml:space="preserve"> campus students and employees.</w:t>
      </w:r>
    </w:p>
    <w:p w:rsidR="007A117C" w:rsidRPr="007A117C" w:rsidRDefault="007A117C" w:rsidP="007A117C"/>
    <w:p w:rsidR="007A117C" w:rsidRPr="007A117C" w:rsidRDefault="007A117C" w:rsidP="007A117C">
      <w:r w:rsidRPr="007A117C">
        <w:t xml:space="preserve">The PLU Safety Committee would </w:t>
      </w:r>
      <w:r w:rsidR="00980C64">
        <w:t xml:space="preserve">also </w:t>
      </w:r>
      <w:r w:rsidRPr="007A117C">
        <w:t>like to thank the President’s Council for the opportunit</w:t>
      </w:r>
      <w:r w:rsidR="00980C64">
        <w:t>y to be a communication channel</w:t>
      </w:r>
      <w:r w:rsidRPr="007A117C">
        <w:t xml:space="preserve"> spreading safety awareness for the benefit of every student, employee, and visitor of the University.</w:t>
      </w:r>
    </w:p>
    <w:p w:rsidR="007A117C" w:rsidRDefault="007A117C" w:rsidP="007A117C"/>
    <w:p w:rsidR="007A117C" w:rsidRPr="007A117C" w:rsidRDefault="007A117C" w:rsidP="007A117C">
      <w:r w:rsidRPr="007A117C">
        <w:t>Respectfully submitted,</w:t>
      </w:r>
    </w:p>
    <w:p w:rsidR="007A117C" w:rsidRDefault="007A117C" w:rsidP="007A117C"/>
    <w:p w:rsidR="007A117C" w:rsidRPr="007A117C" w:rsidRDefault="009324D7" w:rsidP="007A117C">
      <w:r>
        <w:t>Jason Weaving</w:t>
      </w:r>
    </w:p>
    <w:p w:rsidR="007A117C" w:rsidRPr="007A117C" w:rsidRDefault="007A117C" w:rsidP="007A117C">
      <w:r w:rsidRPr="007A117C">
        <w:t>Safety Committee Chair</w:t>
      </w:r>
    </w:p>
    <w:p w:rsidR="000410AE" w:rsidRDefault="007A117C" w:rsidP="007A117C">
      <w:r w:rsidRPr="007A117C">
        <w:t>20</w:t>
      </w:r>
      <w:r w:rsidR="00436D0A">
        <w:t>1</w:t>
      </w:r>
      <w:r w:rsidR="009324D7">
        <w:t>5</w:t>
      </w:r>
      <w:r w:rsidRPr="007A117C">
        <w:t>-20</w:t>
      </w:r>
      <w:r w:rsidR="00980C64">
        <w:t>1</w:t>
      </w:r>
      <w:r w:rsidR="009324D7">
        <w:t>6</w:t>
      </w:r>
    </w:p>
    <w:sectPr w:rsidR="000410AE" w:rsidSect="00800580">
      <w:footerReference w:type="even" r:id="rId15"/>
      <w:footerReference w:type="default" r:id="rId16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82" w:rsidRDefault="00972B82">
      <w:r>
        <w:separator/>
      </w:r>
    </w:p>
  </w:endnote>
  <w:endnote w:type="continuationSeparator" w:id="0">
    <w:p w:rsidR="00972B82" w:rsidRDefault="009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F1" w:rsidRDefault="00473BE4" w:rsidP="00C94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0F1" w:rsidRDefault="00864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F1" w:rsidRDefault="00473BE4" w:rsidP="00C94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34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40F1" w:rsidRDefault="00864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82" w:rsidRDefault="00972B82">
      <w:r>
        <w:separator/>
      </w:r>
    </w:p>
  </w:footnote>
  <w:footnote w:type="continuationSeparator" w:id="0">
    <w:p w:rsidR="00972B82" w:rsidRDefault="009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5F5"/>
    <w:multiLevelType w:val="hybridMultilevel"/>
    <w:tmpl w:val="0178980C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367"/>
    <w:multiLevelType w:val="hybridMultilevel"/>
    <w:tmpl w:val="D23CD0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FC1F1D"/>
    <w:multiLevelType w:val="hybridMultilevel"/>
    <w:tmpl w:val="2E18B51E"/>
    <w:lvl w:ilvl="0" w:tplc="FC6EA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4A5"/>
    <w:multiLevelType w:val="hybridMultilevel"/>
    <w:tmpl w:val="F1AC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2779E"/>
    <w:multiLevelType w:val="hybridMultilevel"/>
    <w:tmpl w:val="89E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B1349"/>
    <w:multiLevelType w:val="hybridMultilevel"/>
    <w:tmpl w:val="1B7EF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52DE4"/>
    <w:multiLevelType w:val="hybridMultilevel"/>
    <w:tmpl w:val="92F67860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3D1E"/>
    <w:multiLevelType w:val="hybridMultilevel"/>
    <w:tmpl w:val="BDE47A18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5C70"/>
    <w:multiLevelType w:val="hybridMultilevel"/>
    <w:tmpl w:val="052CD430"/>
    <w:lvl w:ilvl="0" w:tplc="0011040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6691"/>
    <w:multiLevelType w:val="hybridMultilevel"/>
    <w:tmpl w:val="9A7C34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B36B7"/>
    <w:multiLevelType w:val="hybridMultilevel"/>
    <w:tmpl w:val="8B6E8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509DC"/>
    <w:multiLevelType w:val="hybridMultilevel"/>
    <w:tmpl w:val="AB4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82392"/>
    <w:multiLevelType w:val="hybridMultilevel"/>
    <w:tmpl w:val="25CEC59A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40A5F4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1390"/>
    <w:multiLevelType w:val="hybridMultilevel"/>
    <w:tmpl w:val="5E30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3C39"/>
    <w:multiLevelType w:val="hybridMultilevel"/>
    <w:tmpl w:val="33328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E"/>
    <w:rsid w:val="00037F46"/>
    <w:rsid w:val="000410AE"/>
    <w:rsid w:val="00050C6D"/>
    <w:rsid w:val="00054E86"/>
    <w:rsid w:val="0006360E"/>
    <w:rsid w:val="00073C44"/>
    <w:rsid w:val="00075215"/>
    <w:rsid w:val="000912D5"/>
    <w:rsid w:val="000929FC"/>
    <w:rsid w:val="00117C44"/>
    <w:rsid w:val="0012161F"/>
    <w:rsid w:val="00162ADD"/>
    <w:rsid w:val="001A1971"/>
    <w:rsid w:val="001A35AF"/>
    <w:rsid w:val="001A6BD3"/>
    <w:rsid w:val="001A7423"/>
    <w:rsid w:val="001B5B03"/>
    <w:rsid w:val="001E770D"/>
    <w:rsid w:val="001F6FEB"/>
    <w:rsid w:val="002154E6"/>
    <w:rsid w:val="00220C9B"/>
    <w:rsid w:val="00233288"/>
    <w:rsid w:val="00233A7F"/>
    <w:rsid w:val="00236C8F"/>
    <w:rsid w:val="00250172"/>
    <w:rsid w:val="00264901"/>
    <w:rsid w:val="002B77F9"/>
    <w:rsid w:val="002C00A6"/>
    <w:rsid w:val="002C1558"/>
    <w:rsid w:val="002D3583"/>
    <w:rsid w:val="002E7021"/>
    <w:rsid w:val="002F0F3E"/>
    <w:rsid w:val="002F19F0"/>
    <w:rsid w:val="00321CC4"/>
    <w:rsid w:val="00323EA9"/>
    <w:rsid w:val="00334FE6"/>
    <w:rsid w:val="00350563"/>
    <w:rsid w:val="00352FE9"/>
    <w:rsid w:val="00362090"/>
    <w:rsid w:val="00365902"/>
    <w:rsid w:val="00367661"/>
    <w:rsid w:val="00391ED1"/>
    <w:rsid w:val="003B5333"/>
    <w:rsid w:val="003C3C6D"/>
    <w:rsid w:val="003D5D72"/>
    <w:rsid w:val="003F2F78"/>
    <w:rsid w:val="00400987"/>
    <w:rsid w:val="00406DDE"/>
    <w:rsid w:val="0041061D"/>
    <w:rsid w:val="00413F71"/>
    <w:rsid w:val="00422B60"/>
    <w:rsid w:val="004303E6"/>
    <w:rsid w:val="004349D7"/>
    <w:rsid w:val="00436D0A"/>
    <w:rsid w:val="00455F9F"/>
    <w:rsid w:val="0046011F"/>
    <w:rsid w:val="00462F90"/>
    <w:rsid w:val="00471A6C"/>
    <w:rsid w:val="00473BE4"/>
    <w:rsid w:val="004A3451"/>
    <w:rsid w:val="004A39FC"/>
    <w:rsid w:val="004A7538"/>
    <w:rsid w:val="004B1485"/>
    <w:rsid w:val="004C7BC0"/>
    <w:rsid w:val="004F3EB3"/>
    <w:rsid w:val="005142A1"/>
    <w:rsid w:val="00524A9C"/>
    <w:rsid w:val="0056642E"/>
    <w:rsid w:val="00585D9F"/>
    <w:rsid w:val="00592A14"/>
    <w:rsid w:val="005C1039"/>
    <w:rsid w:val="005F767D"/>
    <w:rsid w:val="00627A69"/>
    <w:rsid w:val="0065191D"/>
    <w:rsid w:val="00654E86"/>
    <w:rsid w:val="006661A3"/>
    <w:rsid w:val="006765D8"/>
    <w:rsid w:val="006A520E"/>
    <w:rsid w:val="006A7932"/>
    <w:rsid w:val="006C3BA1"/>
    <w:rsid w:val="00715E74"/>
    <w:rsid w:val="00726B56"/>
    <w:rsid w:val="007451E9"/>
    <w:rsid w:val="007632BD"/>
    <w:rsid w:val="007733A1"/>
    <w:rsid w:val="0077472B"/>
    <w:rsid w:val="0078614B"/>
    <w:rsid w:val="00793CA6"/>
    <w:rsid w:val="007A0FCB"/>
    <w:rsid w:val="007A117C"/>
    <w:rsid w:val="007B591E"/>
    <w:rsid w:val="007C227A"/>
    <w:rsid w:val="007D514E"/>
    <w:rsid w:val="007E58DC"/>
    <w:rsid w:val="00800580"/>
    <w:rsid w:val="00821939"/>
    <w:rsid w:val="00845703"/>
    <w:rsid w:val="008550AD"/>
    <w:rsid w:val="008640F1"/>
    <w:rsid w:val="00866430"/>
    <w:rsid w:val="00875DF9"/>
    <w:rsid w:val="00883D02"/>
    <w:rsid w:val="008841A4"/>
    <w:rsid w:val="00893906"/>
    <w:rsid w:val="008945B9"/>
    <w:rsid w:val="008B1CFA"/>
    <w:rsid w:val="008B4F79"/>
    <w:rsid w:val="009268DF"/>
    <w:rsid w:val="009310F9"/>
    <w:rsid w:val="009324D7"/>
    <w:rsid w:val="00942146"/>
    <w:rsid w:val="00955233"/>
    <w:rsid w:val="0096561A"/>
    <w:rsid w:val="00967ADB"/>
    <w:rsid w:val="00972B82"/>
    <w:rsid w:val="00975D74"/>
    <w:rsid w:val="00980C64"/>
    <w:rsid w:val="00987A3C"/>
    <w:rsid w:val="009B312B"/>
    <w:rsid w:val="009B640E"/>
    <w:rsid w:val="009C32FD"/>
    <w:rsid w:val="009C4CAD"/>
    <w:rsid w:val="009E0169"/>
    <w:rsid w:val="009E72C3"/>
    <w:rsid w:val="009F7F61"/>
    <w:rsid w:val="00A06E36"/>
    <w:rsid w:val="00A10ABE"/>
    <w:rsid w:val="00A20BDE"/>
    <w:rsid w:val="00A4446B"/>
    <w:rsid w:val="00A57C5B"/>
    <w:rsid w:val="00A8761C"/>
    <w:rsid w:val="00A95F6E"/>
    <w:rsid w:val="00AA1AB7"/>
    <w:rsid w:val="00AB2A52"/>
    <w:rsid w:val="00AE35A8"/>
    <w:rsid w:val="00B124CC"/>
    <w:rsid w:val="00B45D9F"/>
    <w:rsid w:val="00B528C8"/>
    <w:rsid w:val="00B52D4B"/>
    <w:rsid w:val="00B54602"/>
    <w:rsid w:val="00B66065"/>
    <w:rsid w:val="00B90648"/>
    <w:rsid w:val="00BA5CB4"/>
    <w:rsid w:val="00BB05AE"/>
    <w:rsid w:val="00BC39D1"/>
    <w:rsid w:val="00BC7A11"/>
    <w:rsid w:val="00BE6A90"/>
    <w:rsid w:val="00BF2B4F"/>
    <w:rsid w:val="00BF66A2"/>
    <w:rsid w:val="00C211E4"/>
    <w:rsid w:val="00C32974"/>
    <w:rsid w:val="00C56AF3"/>
    <w:rsid w:val="00C73FD4"/>
    <w:rsid w:val="00C745C6"/>
    <w:rsid w:val="00C808D3"/>
    <w:rsid w:val="00C94112"/>
    <w:rsid w:val="00C97898"/>
    <w:rsid w:val="00CC33CF"/>
    <w:rsid w:val="00CC6BA9"/>
    <w:rsid w:val="00CD2451"/>
    <w:rsid w:val="00CE7E2B"/>
    <w:rsid w:val="00D03152"/>
    <w:rsid w:val="00D16AC4"/>
    <w:rsid w:val="00D17858"/>
    <w:rsid w:val="00D23B33"/>
    <w:rsid w:val="00D333E3"/>
    <w:rsid w:val="00D754EA"/>
    <w:rsid w:val="00D77713"/>
    <w:rsid w:val="00DD3D7E"/>
    <w:rsid w:val="00DD7158"/>
    <w:rsid w:val="00E01815"/>
    <w:rsid w:val="00E16B65"/>
    <w:rsid w:val="00E273C2"/>
    <w:rsid w:val="00E920F8"/>
    <w:rsid w:val="00ED3F81"/>
    <w:rsid w:val="00EE25CD"/>
    <w:rsid w:val="00EE285B"/>
    <w:rsid w:val="00EF1844"/>
    <w:rsid w:val="00EF7097"/>
    <w:rsid w:val="00F0574F"/>
    <w:rsid w:val="00F20790"/>
    <w:rsid w:val="00F21827"/>
    <w:rsid w:val="00F36A53"/>
    <w:rsid w:val="00F445E7"/>
    <w:rsid w:val="00F51089"/>
    <w:rsid w:val="00F5221F"/>
    <w:rsid w:val="00F70CC5"/>
    <w:rsid w:val="00F720E8"/>
    <w:rsid w:val="00F81CE4"/>
    <w:rsid w:val="00F87E0E"/>
    <w:rsid w:val="00FA7DB5"/>
    <w:rsid w:val="00FE1342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8E"/>
    <w:pPr>
      <w:keepNext/>
      <w:jc w:val="center"/>
      <w:outlineLvl w:val="0"/>
    </w:pPr>
    <w:rPr>
      <w:rFonts w:ascii="Impact" w:hAnsi="Impac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51A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B4112"/>
    <w:rPr>
      <w:rFonts w:cs="Arial"/>
    </w:rPr>
  </w:style>
  <w:style w:type="paragraph" w:styleId="Footer">
    <w:name w:val="footer"/>
    <w:basedOn w:val="Normal"/>
    <w:rsid w:val="008E7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5D5"/>
  </w:style>
  <w:style w:type="paragraph" w:styleId="Header">
    <w:name w:val="header"/>
    <w:basedOn w:val="Normal"/>
    <w:rsid w:val="009456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117C"/>
    <w:pPr>
      <w:widowControl w:val="0"/>
      <w:suppressAutoHyphens/>
    </w:pPr>
  </w:style>
  <w:style w:type="character" w:styleId="Hyperlink">
    <w:name w:val="Hyperlink"/>
    <w:basedOn w:val="DefaultParagraphFont"/>
    <w:uiPriority w:val="99"/>
    <w:rsid w:val="007A117C"/>
    <w:rPr>
      <w:color w:val="0000FF"/>
      <w:u w:val="single"/>
    </w:rPr>
  </w:style>
  <w:style w:type="paragraph" w:customStyle="1" w:styleId="Pa10">
    <w:name w:val="Pa1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customStyle="1" w:styleId="Pa30">
    <w:name w:val="Pa3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styleId="PlainText">
    <w:name w:val="Plain Text"/>
    <w:basedOn w:val="Normal"/>
    <w:rsid w:val="00436D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98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8E"/>
    <w:pPr>
      <w:keepNext/>
      <w:jc w:val="center"/>
      <w:outlineLvl w:val="0"/>
    </w:pPr>
    <w:rPr>
      <w:rFonts w:ascii="Impact" w:hAnsi="Impac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51A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B4112"/>
    <w:rPr>
      <w:rFonts w:cs="Arial"/>
    </w:rPr>
  </w:style>
  <w:style w:type="paragraph" w:styleId="Footer">
    <w:name w:val="footer"/>
    <w:basedOn w:val="Normal"/>
    <w:rsid w:val="008E7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5D5"/>
  </w:style>
  <w:style w:type="paragraph" w:styleId="Header">
    <w:name w:val="header"/>
    <w:basedOn w:val="Normal"/>
    <w:rsid w:val="009456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117C"/>
    <w:pPr>
      <w:widowControl w:val="0"/>
      <w:suppressAutoHyphens/>
    </w:pPr>
  </w:style>
  <w:style w:type="character" w:styleId="Hyperlink">
    <w:name w:val="Hyperlink"/>
    <w:basedOn w:val="DefaultParagraphFont"/>
    <w:uiPriority w:val="99"/>
    <w:rsid w:val="007A117C"/>
    <w:rPr>
      <w:color w:val="0000FF"/>
      <w:u w:val="single"/>
    </w:rPr>
  </w:style>
  <w:style w:type="paragraph" w:customStyle="1" w:styleId="Pa10">
    <w:name w:val="Pa1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customStyle="1" w:styleId="Pa30">
    <w:name w:val="Pa3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styleId="PlainText">
    <w:name w:val="Plain Text"/>
    <w:basedOn w:val="Normal"/>
    <w:rsid w:val="00436D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98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miolev@pl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lje@pl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hrmala@pl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eehc@p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66E5-51F6-480A-AD59-BDE3FE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 Safety Committee</vt:lpstr>
    </vt:vector>
  </TitlesOfParts>
  <Company>Pacific Lutheran University</Company>
  <LinksUpToDate>false</LinksUpToDate>
  <CharactersWithSpaces>7736</CharactersWithSpaces>
  <SharedDoc>false</SharedDoc>
  <HLinks>
    <vt:vector size="18" baseType="variant">
      <vt:variant>
        <vt:i4>7274582</vt:i4>
      </vt:variant>
      <vt:variant>
        <vt:i4>6</vt:i4>
      </vt:variant>
      <vt:variant>
        <vt:i4>0</vt:i4>
      </vt:variant>
      <vt:variant>
        <vt:i4>5</vt:i4>
      </vt:variant>
      <vt:variant>
        <vt:lpwstr>mailto:northal@plu.edu</vt:lpwstr>
      </vt:variant>
      <vt:variant>
        <vt:lpwstr/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mailto:bellje@plu.edu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mailto:fuhrmala@plu.edu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 Safety Committee</dc:title>
  <dc:creator>Becki Torgerson</dc:creator>
  <cp:lastModifiedBy>bellje</cp:lastModifiedBy>
  <cp:revision>4</cp:revision>
  <cp:lastPrinted>2007-05-09T22:12:00Z</cp:lastPrinted>
  <dcterms:created xsi:type="dcterms:W3CDTF">2016-05-02T20:03:00Z</dcterms:created>
  <dcterms:modified xsi:type="dcterms:W3CDTF">2016-05-02T23:19:00Z</dcterms:modified>
</cp:coreProperties>
</file>