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F8D2" w14:textId="77777777" w:rsidR="006A68D2" w:rsidRDefault="006A68D2">
      <w:pPr>
        <w:rPr>
          <w:rFonts w:ascii="Cambria" w:hAnsi="Cambria" w:cs="Times New Roman"/>
          <w:sz w:val="28"/>
          <w:szCs w:val="28"/>
        </w:rPr>
      </w:pPr>
    </w:p>
    <w:p w14:paraId="6EE857C5" w14:textId="297B64EA" w:rsidR="006A68D2" w:rsidRDefault="006A68D2">
      <w:pPr>
        <w:rPr>
          <w:rFonts w:ascii="Cambria" w:hAnsi="Cambria" w:cs="Times New Roman"/>
          <w:b/>
          <w:sz w:val="32"/>
          <w:szCs w:val="32"/>
        </w:rPr>
      </w:pPr>
      <w:r w:rsidRPr="006A68D2">
        <w:rPr>
          <w:rFonts w:ascii="Cambria" w:hAnsi="Cambria" w:cs="Times New Roman"/>
          <w:b/>
          <w:sz w:val="32"/>
          <w:szCs w:val="32"/>
        </w:rPr>
        <w:t>SAFETY COMMITTEE REPORT TO THE COMMUNITY 202</w:t>
      </w:r>
      <w:r w:rsidR="00783B35">
        <w:rPr>
          <w:rFonts w:ascii="Cambria" w:hAnsi="Cambria" w:cs="Times New Roman"/>
          <w:b/>
          <w:sz w:val="32"/>
          <w:szCs w:val="32"/>
        </w:rPr>
        <w:t>3</w:t>
      </w:r>
      <w:r w:rsidR="0028248A">
        <w:rPr>
          <w:rFonts w:ascii="Cambria" w:hAnsi="Cambria" w:cs="Times New Roman"/>
          <w:b/>
          <w:sz w:val="32"/>
          <w:szCs w:val="32"/>
        </w:rPr>
        <w:t>-202</w:t>
      </w:r>
      <w:r w:rsidR="00783B35">
        <w:rPr>
          <w:rFonts w:ascii="Cambria" w:hAnsi="Cambria" w:cs="Times New Roman"/>
          <w:b/>
          <w:sz w:val="32"/>
          <w:szCs w:val="32"/>
        </w:rPr>
        <w:t>4</w:t>
      </w:r>
    </w:p>
    <w:p w14:paraId="627C0558" w14:textId="77777777" w:rsidR="006A68D2" w:rsidRDefault="006A68D2">
      <w:pPr>
        <w:rPr>
          <w:rFonts w:ascii="Cambria" w:hAnsi="Cambria" w:cs="Times New Roman"/>
          <w:b/>
          <w:sz w:val="28"/>
          <w:szCs w:val="28"/>
        </w:rPr>
      </w:pPr>
    </w:p>
    <w:p w14:paraId="4AE5E6A5" w14:textId="77777777" w:rsidR="006A68D2" w:rsidRPr="006A68D2" w:rsidRDefault="006A68D2">
      <w:pPr>
        <w:rPr>
          <w:rFonts w:ascii="Cambria" w:hAnsi="Cambria" w:cs="Times New Roman"/>
          <w:b/>
          <w:sz w:val="24"/>
          <w:szCs w:val="24"/>
          <w:u w:val="single"/>
        </w:rPr>
      </w:pPr>
      <w:r w:rsidRPr="006A68D2">
        <w:rPr>
          <w:rFonts w:ascii="Cambria" w:hAnsi="Cambria" w:cs="Times New Roman"/>
          <w:b/>
          <w:sz w:val="24"/>
          <w:szCs w:val="24"/>
          <w:u w:val="single"/>
        </w:rPr>
        <w:t>PLU SAFETY COMMITTEE MISSION STATEMENT &amp; STRUCTURE</w:t>
      </w:r>
    </w:p>
    <w:p w14:paraId="70CE346F" w14:textId="77777777" w:rsidR="006A68D2" w:rsidRPr="006A68D2" w:rsidRDefault="006A68D2">
      <w:pPr>
        <w:rPr>
          <w:rFonts w:ascii="Cambria" w:hAnsi="Cambria" w:cs="Times New Roman"/>
          <w:b/>
        </w:rPr>
      </w:pPr>
    </w:p>
    <w:p w14:paraId="31BE8721" w14:textId="77777777" w:rsidR="006A68D2" w:rsidRPr="006A68D2" w:rsidRDefault="006A68D2" w:rsidP="006A68D2">
      <w:pPr>
        <w:rPr>
          <w:rFonts w:ascii="Cambria" w:hAnsi="Cambria" w:cs="Times New Roman"/>
        </w:rPr>
      </w:pPr>
      <w:r w:rsidRPr="006A68D2">
        <w:rPr>
          <w:rFonts w:ascii="Cambria" w:hAnsi="Cambria" w:cs="Times New Roman"/>
        </w:rPr>
        <w:t>The PLU Safety Committee’s mission is to provide a forum where every employee and student can communicate safety related concerns. We will identify hazards, investigate injuries, and recommend policy, procedures and training to improve the health and safety of the PLU community.</w:t>
      </w:r>
    </w:p>
    <w:p w14:paraId="7552B9C1" w14:textId="77777777" w:rsidR="006A68D2" w:rsidRPr="006A68D2" w:rsidRDefault="006A68D2" w:rsidP="006A68D2">
      <w:pPr>
        <w:rPr>
          <w:rFonts w:ascii="Cambria" w:hAnsi="Cambria" w:cs="Times New Roman"/>
        </w:rPr>
      </w:pPr>
    </w:p>
    <w:p w14:paraId="01AD06DF" w14:textId="77777777" w:rsidR="006A68D2" w:rsidRDefault="006A68D2" w:rsidP="006A68D2">
      <w:pPr>
        <w:rPr>
          <w:rFonts w:ascii="Cambria" w:hAnsi="Cambria" w:cs="Times New Roman"/>
        </w:rPr>
      </w:pPr>
      <w:r w:rsidRPr="006A68D2">
        <w:rPr>
          <w:rFonts w:ascii="Cambria" w:hAnsi="Cambria" w:cs="Times New Roman"/>
        </w:rPr>
        <w:t>PLU’s Safety Committee is comprised of 10 voting members, with 4 appointed and 6 elected positions. Departments represented on the committee include Athletics, ASPLU, Campus Life, Campus Safety, Environmental Health and Safety, Facilities Management, Faculty, Human Resources, Hospitality Services and Campus Restaurants, and Natural Sciences. Members represent faculty, staff and students. Advisory members are from the School of Nursing, Risk Management, and School of Arts &amp; Communications.</w:t>
      </w:r>
    </w:p>
    <w:p w14:paraId="65ED3FE6" w14:textId="77777777" w:rsidR="006A68D2" w:rsidRPr="006A68D2" w:rsidRDefault="006A68D2" w:rsidP="006A68D2">
      <w:pPr>
        <w:rPr>
          <w:rFonts w:ascii="Cambria" w:hAnsi="Cambria" w:cs="Times New Roman"/>
        </w:rPr>
      </w:pPr>
    </w:p>
    <w:p w14:paraId="59B93ECF" w14:textId="77777777" w:rsidR="006A68D2" w:rsidRDefault="006A68D2">
      <w:pPr>
        <w:rPr>
          <w:rFonts w:ascii="Cambria" w:hAnsi="Cambria" w:cs="Times New Roman"/>
          <w:sz w:val="24"/>
          <w:szCs w:val="24"/>
        </w:rPr>
      </w:pPr>
      <w:r w:rsidRPr="006A68D2">
        <w:rPr>
          <w:rFonts w:ascii="Cambria" w:hAnsi="Cambria" w:cs="Times New Roman"/>
        </w:rPr>
        <w:t xml:space="preserve">The Safety Committee would like to thank the PLU community for its continued support of safety awareness on campus. Please contact any of the </w:t>
      </w:r>
      <w:hyperlink r:id="rId10" w:history="1">
        <w:r w:rsidRPr="006A68D2">
          <w:rPr>
            <w:rStyle w:val="Hyperlink"/>
            <w:rFonts w:ascii="Cambria" w:hAnsi="Cambria" w:cs="Times New Roman"/>
          </w:rPr>
          <w:t>committee members</w:t>
        </w:r>
      </w:hyperlink>
      <w:r w:rsidRPr="006A68D2">
        <w:rPr>
          <w:rFonts w:ascii="Cambria" w:hAnsi="Cambria" w:cs="Times New Roman"/>
        </w:rPr>
        <w:t xml:space="preserve"> if you have questions or concerns</w:t>
      </w:r>
      <w:r w:rsidRPr="006A68D2">
        <w:rPr>
          <w:rFonts w:ascii="Cambria" w:hAnsi="Cambria" w:cs="Times New Roman"/>
          <w:sz w:val="24"/>
          <w:szCs w:val="24"/>
        </w:rPr>
        <w:t>.</w:t>
      </w:r>
    </w:p>
    <w:p w14:paraId="32AB7D64" w14:textId="77777777" w:rsidR="006D24BF" w:rsidRDefault="006D24BF">
      <w:pPr>
        <w:rPr>
          <w:rFonts w:ascii="Cambria" w:hAnsi="Cambria" w:cs="Times New Roman"/>
          <w:b/>
        </w:rPr>
      </w:pPr>
    </w:p>
    <w:p w14:paraId="77F63845" w14:textId="45318AB4" w:rsidR="006A68D2" w:rsidRPr="006A68D2" w:rsidRDefault="006A68D2" w:rsidP="006A68D2">
      <w:pPr>
        <w:rPr>
          <w:rFonts w:ascii="Cambria" w:hAnsi="Cambria" w:cs="Times New Roman"/>
          <w:b/>
          <w:sz w:val="24"/>
          <w:szCs w:val="24"/>
          <w:u w:val="single"/>
        </w:rPr>
      </w:pPr>
      <w:r w:rsidRPr="006A68D2">
        <w:rPr>
          <w:rFonts w:ascii="Cambria" w:hAnsi="Cambria" w:cs="Times New Roman"/>
          <w:b/>
          <w:sz w:val="24"/>
          <w:szCs w:val="24"/>
          <w:u w:val="single"/>
        </w:rPr>
        <w:t xml:space="preserve">PLU SAFETY COMMITTEE </w:t>
      </w:r>
      <w:r>
        <w:rPr>
          <w:rFonts w:ascii="Cambria" w:hAnsi="Cambria" w:cs="Times New Roman"/>
          <w:b/>
          <w:sz w:val="24"/>
          <w:szCs w:val="24"/>
          <w:u w:val="single"/>
        </w:rPr>
        <w:t>ACTIVITIES FOR ACADEMIC YEAR 202</w:t>
      </w:r>
      <w:r w:rsidR="00783B35">
        <w:rPr>
          <w:rFonts w:ascii="Cambria" w:hAnsi="Cambria" w:cs="Times New Roman"/>
          <w:b/>
          <w:sz w:val="24"/>
          <w:szCs w:val="24"/>
          <w:u w:val="single"/>
        </w:rPr>
        <w:t>3</w:t>
      </w:r>
      <w:r>
        <w:rPr>
          <w:rFonts w:ascii="Cambria" w:hAnsi="Cambria" w:cs="Times New Roman"/>
          <w:b/>
          <w:sz w:val="24"/>
          <w:szCs w:val="24"/>
          <w:u w:val="single"/>
        </w:rPr>
        <w:t>/2</w:t>
      </w:r>
      <w:r w:rsidR="00783B35">
        <w:rPr>
          <w:rFonts w:ascii="Cambria" w:hAnsi="Cambria" w:cs="Times New Roman"/>
          <w:b/>
          <w:sz w:val="24"/>
          <w:szCs w:val="24"/>
          <w:u w:val="single"/>
        </w:rPr>
        <w:t>4</w:t>
      </w:r>
    </w:p>
    <w:p w14:paraId="3BD9B231" w14:textId="77777777" w:rsidR="006A68D2" w:rsidRDefault="006A68D2">
      <w:pPr>
        <w:rPr>
          <w:rFonts w:ascii="Cambria" w:hAnsi="Cambria" w:cs="Times New Roman"/>
          <w:b/>
        </w:rPr>
      </w:pPr>
    </w:p>
    <w:p w14:paraId="2995D6D9" w14:textId="4BB659BC" w:rsidR="006A68D2" w:rsidRDefault="006A68D2">
      <w:pPr>
        <w:rPr>
          <w:rFonts w:ascii="Cambria" w:hAnsi="Cambria" w:cs="Times New Roman"/>
        </w:rPr>
      </w:pPr>
      <w:r>
        <w:rPr>
          <w:rFonts w:ascii="Cambria" w:hAnsi="Cambria" w:cs="Times New Roman"/>
        </w:rPr>
        <w:t xml:space="preserve">The Safety Committee met </w:t>
      </w:r>
      <w:r w:rsidR="00011956">
        <w:rPr>
          <w:rFonts w:ascii="Cambria" w:hAnsi="Cambria" w:cs="Times New Roman"/>
        </w:rPr>
        <w:t>on a bi-monthly basis during the academic year 202</w:t>
      </w:r>
      <w:r w:rsidR="00783B35">
        <w:rPr>
          <w:rFonts w:ascii="Cambria" w:hAnsi="Cambria" w:cs="Times New Roman"/>
        </w:rPr>
        <w:t>3</w:t>
      </w:r>
      <w:r w:rsidR="00011956">
        <w:rPr>
          <w:rFonts w:ascii="Cambria" w:hAnsi="Cambria" w:cs="Times New Roman"/>
        </w:rPr>
        <w:t>/202</w:t>
      </w:r>
      <w:r w:rsidR="00783B35">
        <w:rPr>
          <w:rFonts w:ascii="Cambria" w:hAnsi="Cambria" w:cs="Times New Roman"/>
        </w:rPr>
        <w:t>4</w:t>
      </w:r>
    </w:p>
    <w:p w14:paraId="745FFC86" w14:textId="77777777" w:rsidR="006A68D2" w:rsidRDefault="006A68D2">
      <w:pPr>
        <w:rPr>
          <w:rFonts w:ascii="Cambria" w:hAnsi="Cambria" w:cs="Times New Roman"/>
        </w:rPr>
      </w:pPr>
    </w:p>
    <w:p w14:paraId="21679BA4" w14:textId="77777777" w:rsidR="006A68D2" w:rsidRPr="00044BDC" w:rsidRDefault="006A68D2" w:rsidP="006A68D2">
      <w:pPr>
        <w:rPr>
          <w:rFonts w:ascii="Cambria" w:hAnsi="Cambria" w:cstheme="minorHAnsi"/>
          <w:color w:val="000000"/>
        </w:rPr>
      </w:pPr>
      <w:r w:rsidRPr="00044BDC">
        <w:rPr>
          <w:rFonts w:ascii="Cambria" w:hAnsi="Cambria" w:cstheme="minorHAnsi"/>
          <w:color w:val="000000"/>
        </w:rPr>
        <w:t>As required by Washington State Labor &amp; Industries, the PLU Safety Committee</w:t>
      </w:r>
    </w:p>
    <w:p w14:paraId="1ECA98E7" w14:textId="77777777" w:rsidR="006A68D2" w:rsidRPr="00044BDC" w:rsidRDefault="006A68D2" w:rsidP="006A68D2">
      <w:pPr>
        <w:pStyle w:val="ListParagraph"/>
        <w:numPr>
          <w:ilvl w:val="0"/>
          <w:numId w:val="25"/>
        </w:numPr>
        <w:spacing w:before="0" w:after="0"/>
        <w:rPr>
          <w:rFonts w:ascii="Cambria" w:hAnsi="Cambria" w:cstheme="minorHAnsi"/>
          <w:color w:val="000000"/>
          <w:sz w:val="22"/>
          <w:szCs w:val="22"/>
        </w:rPr>
      </w:pPr>
      <w:r w:rsidRPr="00044BDC">
        <w:rPr>
          <w:rFonts w:ascii="Cambria" w:hAnsi="Cambria" w:cstheme="minorHAnsi"/>
          <w:color w:val="000000"/>
          <w:sz w:val="22"/>
          <w:szCs w:val="22"/>
        </w:rPr>
        <w:t xml:space="preserve">Recorded and posted </w:t>
      </w:r>
      <w:hyperlink r:id="rId11" w:history="1">
        <w:r w:rsidRPr="00044BDC">
          <w:rPr>
            <w:rStyle w:val="Hyperlink"/>
            <w:rFonts w:ascii="Cambria" w:hAnsi="Cambria" w:cstheme="minorHAnsi"/>
            <w:sz w:val="22"/>
            <w:szCs w:val="22"/>
          </w:rPr>
          <w:t>minutes</w:t>
        </w:r>
      </w:hyperlink>
      <w:r w:rsidRPr="00044BDC">
        <w:rPr>
          <w:rFonts w:ascii="Cambria" w:hAnsi="Cambria" w:cstheme="minorHAnsi"/>
          <w:color w:val="000000"/>
          <w:sz w:val="22"/>
          <w:szCs w:val="22"/>
        </w:rPr>
        <w:t xml:space="preserve"> from each safety committee meeting</w:t>
      </w:r>
      <w:r w:rsidR="00F929D1">
        <w:rPr>
          <w:rFonts w:ascii="Cambria" w:hAnsi="Cambria" w:cstheme="minorHAnsi"/>
          <w:color w:val="000000"/>
          <w:sz w:val="22"/>
          <w:szCs w:val="22"/>
        </w:rPr>
        <w:t xml:space="preserve"> on the Safety Committee </w:t>
      </w:r>
      <w:hyperlink r:id="rId12" w:history="1">
        <w:r w:rsidR="00F929D1" w:rsidRPr="00F929D1">
          <w:rPr>
            <w:rStyle w:val="Hyperlink"/>
            <w:rFonts w:ascii="Cambria" w:hAnsi="Cambria" w:cstheme="minorHAnsi"/>
            <w:sz w:val="22"/>
            <w:szCs w:val="22"/>
          </w:rPr>
          <w:t>webpage</w:t>
        </w:r>
      </w:hyperlink>
      <w:r w:rsidR="00F929D1">
        <w:rPr>
          <w:rFonts w:ascii="Cambria" w:hAnsi="Cambria" w:cstheme="minorHAnsi"/>
          <w:color w:val="000000"/>
          <w:sz w:val="22"/>
          <w:szCs w:val="22"/>
        </w:rPr>
        <w:t>.</w:t>
      </w:r>
    </w:p>
    <w:p w14:paraId="5D58A3D8" w14:textId="77777777" w:rsidR="006A68D2" w:rsidRPr="00044BDC" w:rsidRDefault="006A68D2" w:rsidP="006A68D2">
      <w:pPr>
        <w:pStyle w:val="ListParagraph"/>
        <w:numPr>
          <w:ilvl w:val="0"/>
          <w:numId w:val="26"/>
        </w:numPr>
        <w:spacing w:before="0" w:after="0"/>
        <w:rPr>
          <w:rFonts w:ascii="Cambria" w:hAnsi="Cambria" w:cstheme="minorHAnsi"/>
          <w:color w:val="000000"/>
          <w:sz w:val="22"/>
          <w:szCs w:val="22"/>
        </w:rPr>
      </w:pPr>
      <w:r w:rsidRPr="00044BDC">
        <w:rPr>
          <w:rFonts w:ascii="Cambria" w:hAnsi="Cambria" w:cstheme="minorHAnsi"/>
          <w:color w:val="000000"/>
          <w:sz w:val="22"/>
          <w:szCs w:val="22"/>
        </w:rPr>
        <w:t>Made available for review by PLU personnel and Safety / Health consultation personnel of the WA Department of Labor and Industries</w:t>
      </w:r>
    </w:p>
    <w:p w14:paraId="2C926BB6" w14:textId="77777777" w:rsidR="006A68D2" w:rsidRPr="00044BDC" w:rsidRDefault="006A68D2" w:rsidP="006A68D2">
      <w:pPr>
        <w:pStyle w:val="ListParagraph"/>
        <w:numPr>
          <w:ilvl w:val="0"/>
          <w:numId w:val="26"/>
        </w:numPr>
        <w:spacing w:before="0" w:after="0"/>
        <w:rPr>
          <w:rFonts w:ascii="Cambria" w:hAnsi="Cambria" w:cstheme="minorHAnsi"/>
          <w:color w:val="000000"/>
          <w:sz w:val="22"/>
          <w:szCs w:val="22"/>
        </w:rPr>
      </w:pPr>
      <w:r w:rsidRPr="00044BDC">
        <w:rPr>
          <w:rFonts w:ascii="Cambria" w:hAnsi="Cambria" w:cstheme="minorHAnsi"/>
          <w:color w:val="000000"/>
          <w:sz w:val="22"/>
          <w:szCs w:val="22"/>
        </w:rPr>
        <w:t>Documented meeting attendance.</w:t>
      </w:r>
    </w:p>
    <w:p w14:paraId="083B0195" w14:textId="77777777" w:rsidR="006A68D2" w:rsidRPr="00044BDC" w:rsidRDefault="006A68D2" w:rsidP="006A68D2">
      <w:pPr>
        <w:pStyle w:val="ListParagraph"/>
        <w:numPr>
          <w:ilvl w:val="0"/>
          <w:numId w:val="25"/>
        </w:numPr>
        <w:spacing w:after="0"/>
        <w:rPr>
          <w:rFonts w:ascii="Cambria" w:hAnsi="Cambria" w:cstheme="minorHAnsi"/>
          <w:color w:val="000000"/>
          <w:sz w:val="22"/>
          <w:szCs w:val="22"/>
        </w:rPr>
      </w:pPr>
      <w:r w:rsidRPr="00044BDC">
        <w:rPr>
          <w:rFonts w:ascii="Cambria" w:hAnsi="Cambria" w:cstheme="minorHAnsi"/>
          <w:color w:val="000000"/>
          <w:sz w:val="22"/>
          <w:szCs w:val="22"/>
        </w:rPr>
        <w:t>R</w:t>
      </w:r>
      <w:r w:rsidRPr="00044BDC">
        <w:rPr>
          <w:rFonts w:ascii="Cambria" w:hAnsi="Cambria" w:cstheme="minorHAnsi"/>
          <w:sz w:val="22"/>
          <w:szCs w:val="22"/>
        </w:rPr>
        <w:t>eviewed injury/accident reports:</w:t>
      </w:r>
      <w:r w:rsidRPr="00044BDC">
        <w:rPr>
          <w:rFonts w:ascii="Cambria" w:hAnsi="Cambria" w:cstheme="minorHAnsi"/>
          <w:color w:val="000000"/>
          <w:sz w:val="22"/>
          <w:szCs w:val="22"/>
        </w:rPr>
        <w:t xml:space="preserve"> </w:t>
      </w:r>
    </w:p>
    <w:p w14:paraId="5AB86A26" w14:textId="77777777" w:rsidR="006A68D2" w:rsidRPr="00044BDC" w:rsidRDefault="006A68D2" w:rsidP="006A68D2">
      <w:pPr>
        <w:numPr>
          <w:ilvl w:val="1"/>
          <w:numId w:val="24"/>
        </w:numPr>
        <w:spacing w:line="276" w:lineRule="auto"/>
        <w:rPr>
          <w:rFonts w:ascii="Cambria" w:hAnsi="Cambria" w:cstheme="minorHAnsi"/>
          <w:color w:val="000000"/>
        </w:rPr>
      </w:pPr>
      <w:r w:rsidRPr="00044BDC">
        <w:rPr>
          <w:rFonts w:ascii="Cambria" w:hAnsi="Cambria" w:cstheme="minorHAnsi"/>
          <w:color w:val="000000"/>
        </w:rPr>
        <w:t>Injury investigations were performed where appropriate</w:t>
      </w:r>
    </w:p>
    <w:p w14:paraId="6FCD1668" w14:textId="77777777" w:rsidR="006A68D2" w:rsidRDefault="006A68D2" w:rsidP="006A68D2">
      <w:pPr>
        <w:numPr>
          <w:ilvl w:val="1"/>
          <w:numId w:val="24"/>
        </w:numPr>
        <w:spacing w:line="276" w:lineRule="auto"/>
        <w:rPr>
          <w:rFonts w:ascii="Cambria" w:hAnsi="Cambria" w:cstheme="minorHAnsi"/>
          <w:color w:val="000000"/>
        </w:rPr>
      </w:pPr>
      <w:r w:rsidRPr="00044BDC">
        <w:rPr>
          <w:rFonts w:ascii="Cambria" w:hAnsi="Cambria" w:cstheme="minorHAnsi"/>
          <w:color w:val="000000"/>
        </w:rPr>
        <w:t>Unsafe conditions or activities were identified and corrected or modified</w:t>
      </w:r>
    </w:p>
    <w:p w14:paraId="29E1957C" w14:textId="77777777" w:rsidR="00A711BC" w:rsidRDefault="00A711BC" w:rsidP="00A711BC">
      <w:pPr>
        <w:spacing w:line="276" w:lineRule="auto"/>
        <w:rPr>
          <w:rFonts w:ascii="Cambria" w:hAnsi="Cambria" w:cstheme="minorHAnsi"/>
          <w:color w:val="000000"/>
        </w:rPr>
      </w:pPr>
      <w:r>
        <w:rPr>
          <w:rFonts w:ascii="Cambria" w:hAnsi="Cambria" w:cstheme="minorHAnsi"/>
          <w:color w:val="000000"/>
        </w:rPr>
        <w:t>Additionally, the PLU Safety Committee</w:t>
      </w:r>
    </w:p>
    <w:p w14:paraId="4E3079B5" w14:textId="77777777" w:rsidR="00A711BC" w:rsidRPr="006D24BF" w:rsidRDefault="00A711BC" w:rsidP="00A711BC">
      <w:pPr>
        <w:pStyle w:val="ListParagraph"/>
        <w:numPr>
          <w:ilvl w:val="0"/>
          <w:numId w:val="24"/>
        </w:numPr>
        <w:rPr>
          <w:rFonts w:ascii="Cambria" w:hAnsi="Cambria" w:cstheme="minorHAnsi"/>
          <w:color w:val="000000"/>
        </w:rPr>
      </w:pPr>
      <w:r>
        <w:rPr>
          <w:rFonts w:ascii="Cambria" w:hAnsi="Cambria" w:cstheme="minorHAnsi"/>
          <w:color w:val="000000"/>
          <w:sz w:val="22"/>
          <w:szCs w:val="22"/>
        </w:rPr>
        <w:t>Conducted building safety inspections of:</w:t>
      </w:r>
    </w:p>
    <w:p w14:paraId="34B9EF6B" w14:textId="77777777" w:rsidR="006D24BF" w:rsidRDefault="006D24BF" w:rsidP="006D24BF">
      <w:pPr>
        <w:pStyle w:val="ListParagraph"/>
        <w:rPr>
          <w:rFonts w:ascii="Cambria" w:hAnsi="Cambria" w:cstheme="minorHAnsi"/>
          <w:color w:val="000000"/>
          <w:sz w:val="22"/>
          <w:szCs w:val="22"/>
        </w:rPr>
      </w:pPr>
      <w:r w:rsidRPr="006D24BF">
        <w:rPr>
          <w:rFonts w:ascii="Cambria" w:hAnsi="Cambria" w:cstheme="minorHAnsi"/>
          <w:color w:val="000000"/>
          <w:sz w:val="22"/>
          <w:szCs w:val="22"/>
        </w:rPr>
        <w:t xml:space="preserve">        o</w:t>
      </w:r>
      <w:r w:rsidRPr="006D24BF">
        <w:rPr>
          <w:rFonts w:ascii="Cambria" w:hAnsi="Cambria" w:cstheme="minorHAnsi"/>
          <w:color w:val="000000"/>
          <w:sz w:val="22"/>
          <w:szCs w:val="22"/>
        </w:rPr>
        <w:tab/>
      </w:r>
      <w:proofErr w:type="spellStart"/>
      <w:r>
        <w:rPr>
          <w:rFonts w:ascii="Cambria" w:hAnsi="Cambria" w:cstheme="minorHAnsi"/>
          <w:color w:val="000000"/>
          <w:sz w:val="22"/>
          <w:szCs w:val="22"/>
        </w:rPr>
        <w:t>Harstad</w:t>
      </w:r>
      <w:proofErr w:type="spellEnd"/>
      <w:r>
        <w:rPr>
          <w:rFonts w:ascii="Cambria" w:hAnsi="Cambria" w:cstheme="minorHAnsi"/>
          <w:color w:val="000000"/>
          <w:sz w:val="22"/>
          <w:szCs w:val="22"/>
        </w:rPr>
        <w:t xml:space="preserve">, Tingelstad, Pflueger, </w:t>
      </w:r>
      <w:proofErr w:type="spellStart"/>
      <w:r>
        <w:rPr>
          <w:rFonts w:ascii="Cambria" w:hAnsi="Cambria" w:cstheme="minorHAnsi"/>
          <w:color w:val="000000"/>
          <w:sz w:val="22"/>
          <w:szCs w:val="22"/>
        </w:rPr>
        <w:t>Ordal</w:t>
      </w:r>
      <w:proofErr w:type="spellEnd"/>
      <w:r>
        <w:rPr>
          <w:rFonts w:ascii="Cambria" w:hAnsi="Cambria" w:cstheme="minorHAnsi"/>
          <w:color w:val="000000"/>
          <w:sz w:val="22"/>
          <w:szCs w:val="22"/>
        </w:rPr>
        <w:t xml:space="preserve">, </w:t>
      </w:r>
      <w:proofErr w:type="spellStart"/>
      <w:r>
        <w:rPr>
          <w:rFonts w:ascii="Cambria" w:hAnsi="Cambria" w:cstheme="minorHAnsi"/>
          <w:color w:val="000000"/>
          <w:sz w:val="22"/>
          <w:szCs w:val="22"/>
        </w:rPr>
        <w:t>Kriedler</w:t>
      </w:r>
      <w:proofErr w:type="spellEnd"/>
      <w:r>
        <w:rPr>
          <w:rFonts w:ascii="Cambria" w:hAnsi="Cambria" w:cstheme="minorHAnsi"/>
          <w:color w:val="000000"/>
          <w:sz w:val="22"/>
          <w:szCs w:val="22"/>
        </w:rPr>
        <w:t>, and South Residence Halls</w:t>
      </w:r>
    </w:p>
    <w:p w14:paraId="5C22AD77" w14:textId="77777777" w:rsidR="006D24BF" w:rsidRPr="006D24BF" w:rsidRDefault="006D24BF" w:rsidP="006D24BF">
      <w:pPr>
        <w:pStyle w:val="ListParagraph"/>
        <w:rPr>
          <w:rFonts w:ascii="Cambria" w:hAnsi="Cambria" w:cstheme="minorHAnsi"/>
          <w:color w:val="000000"/>
          <w:sz w:val="22"/>
          <w:szCs w:val="22"/>
        </w:rPr>
      </w:pPr>
      <w:r>
        <w:rPr>
          <w:rFonts w:ascii="Cambria" w:hAnsi="Cambria" w:cstheme="minorHAnsi"/>
          <w:color w:val="000000"/>
          <w:sz w:val="22"/>
          <w:szCs w:val="22"/>
        </w:rPr>
        <w:t xml:space="preserve">        </w:t>
      </w:r>
      <w:r w:rsidRPr="006D24BF">
        <w:rPr>
          <w:rFonts w:ascii="Cambria" w:hAnsi="Cambria" w:cstheme="minorHAnsi"/>
          <w:color w:val="000000"/>
          <w:sz w:val="22"/>
          <w:szCs w:val="22"/>
        </w:rPr>
        <w:t>o</w:t>
      </w:r>
      <w:r w:rsidRPr="006D24BF">
        <w:rPr>
          <w:rFonts w:ascii="Cambria" w:hAnsi="Cambria" w:cstheme="minorHAnsi"/>
          <w:color w:val="000000"/>
          <w:sz w:val="22"/>
          <w:szCs w:val="22"/>
        </w:rPr>
        <w:tab/>
        <w:t>Action items are assigned by the PLU EH&amp;S Manager to ensure issues identified during inspections are resolved.</w:t>
      </w:r>
    </w:p>
    <w:p w14:paraId="3965A704" w14:textId="77777777" w:rsidR="00EE2075" w:rsidRDefault="00EE2075">
      <w:pPr>
        <w:rPr>
          <w:rFonts w:ascii="Cambria" w:hAnsi="Cambria" w:cs="Times New Roman"/>
        </w:rPr>
      </w:pPr>
      <w:r>
        <w:rPr>
          <w:rFonts w:ascii="Cambria" w:hAnsi="Cambria" w:cs="Times New Roman"/>
        </w:rPr>
        <w:t>The Safety Committee member division/department titles have been updated in the Faculty Handbook to align with the academic restructure approved by PLU’s Board of Regents.</w:t>
      </w:r>
    </w:p>
    <w:p w14:paraId="0BC516CE" w14:textId="77777777" w:rsidR="00EE2075" w:rsidRDefault="00EE2075">
      <w:pPr>
        <w:rPr>
          <w:rFonts w:ascii="Cambria" w:hAnsi="Cambria" w:cs="Times New Roman"/>
        </w:rPr>
      </w:pPr>
    </w:p>
    <w:p w14:paraId="230881DA" w14:textId="35DD895A" w:rsidR="00EE2075" w:rsidRDefault="00F929D1">
      <w:pPr>
        <w:rPr>
          <w:rFonts w:ascii="Cambria" w:hAnsi="Cambria" w:cs="Times New Roman"/>
        </w:rPr>
      </w:pPr>
      <w:r>
        <w:rPr>
          <w:rFonts w:ascii="Cambria" w:hAnsi="Cambria" w:cs="Times New Roman"/>
        </w:rPr>
        <w:t xml:space="preserve">Fire Marshal building inspections </w:t>
      </w:r>
      <w:r w:rsidR="00011956">
        <w:rPr>
          <w:rFonts w:ascii="Cambria" w:hAnsi="Cambria" w:cs="Times New Roman"/>
        </w:rPr>
        <w:t xml:space="preserve">resumed in </w:t>
      </w:r>
      <w:r w:rsidR="00D56824">
        <w:rPr>
          <w:rFonts w:ascii="Cambria" w:hAnsi="Cambria" w:cs="Times New Roman"/>
        </w:rPr>
        <w:t>August</w:t>
      </w:r>
      <w:r w:rsidR="00011956">
        <w:rPr>
          <w:rFonts w:ascii="Cambria" w:hAnsi="Cambria" w:cs="Times New Roman"/>
        </w:rPr>
        <w:t>/</w:t>
      </w:r>
      <w:r w:rsidR="00D56824">
        <w:rPr>
          <w:rFonts w:ascii="Cambria" w:hAnsi="Cambria" w:cs="Times New Roman"/>
        </w:rPr>
        <w:t>September</w:t>
      </w:r>
      <w:r w:rsidR="00011956">
        <w:rPr>
          <w:rFonts w:ascii="Cambria" w:hAnsi="Cambria" w:cs="Times New Roman"/>
        </w:rPr>
        <w:t xml:space="preserve"> of 202</w:t>
      </w:r>
      <w:r w:rsidR="00D56824">
        <w:rPr>
          <w:rFonts w:ascii="Cambria" w:hAnsi="Cambria" w:cs="Times New Roman"/>
        </w:rPr>
        <w:t>3</w:t>
      </w:r>
      <w:r w:rsidR="00011956">
        <w:rPr>
          <w:rFonts w:ascii="Cambria" w:hAnsi="Cambria" w:cs="Times New Roman"/>
        </w:rPr>
        <w:t xml:space="preserve">. </w:t>
      </w:r>
    </w:p>
    <w:p w14:paraId="186A57B2" w14:textId="77777777" w:rsidR="00EE2075" w:rsidRDefault="00E272DC">
      <w:pPr>
        <w:rPr>
          <w:rFonts w:ascii="Cambria" w:hAnsi="Cambria" w:cs="Times New Roman"/>
        </w:rPr>
      </w:pPr>
      <w:r>
        <w:rPr>
          <w:rFonts w:ascii="Cambria" w:hAnsi="Cambria" w:cs="Times New Roman"/>
        </w:rPr>
        <w:br w:type="page"/>
      </w:r>
      <w:r w:rsidR="00EE2075">
        <w:rPr>
          <w:rFonts w:ascii="Cambria" w:hAnsi="Cambria" w:cs="Times New Roman"/>
          <w:b/>
          <w:sz w:val="24"/>
          <w:szCs w:val="24"/>
          <w:u w:val="single"/>
        </w:rPr>
        <w:lastRenderedPageBreak/>
        <w:t>OSHA RECORDABLE INJURIES</w:t>
      </w:r>
    </w:p>
    <w:p w14:paraId="42B316CA" w14:textId="77777777" w:rsidR="00EE2075" w:rsidRDefault="00EE2075">
      <w:pPr>
        <w:rPr>
          <w:rFonts w:ascii="Cambria" w:hAnsi="Cambria" w:cs="Times New Roman"/>
        </w:rPr>
      </w:pPr>
    </w:p>
    <w:p w14:paraId="6B7E1607" w14:textId="6D723FD6" w:rsidR="00EE2075" w:rsidRDefault="00EE2075">
      <w:pPr>
        <w:rPr>
          <w:rFonts w:ascii="Cambria" w:hAnsi="Cambria" w:cs="Times New Roman"/>
        </w:rPr>
      </w:pPr>
      <w:r>
        <w:rPr>
          <w:rFonts w:ascii="Cambria" w:hAnsi="Cambria" w:cs="Times New Roman"/>
        </w:rPr>
        <w:t xml:space="preserve">There was a total of </w:t>
      </w:r>
      <w:r w:rsidR="002F57D4">
        <w:rPr>
          <w:rFonts w:ascii="Cambria" w:hAnsi="Cambria" w:cs="Times New Roman"/>
        </w:rPr>
        <w:t>eighteen (18</w:t>
      </w:r>
      <w:r>
        <w:rPr>
          <w:rFonts w:ascii="Cambria" w:hAnsi="Cambria" w:cs="Times New Roman"/>
        </w:rPr>
        <w:t>) OSHA recordable injuries in calendar year 202</w:t>
      </w:r>
      <w:r w:rsidR="00641A03">
        <w:rPr>
          <w:rFonts w:ascii="Cambria" w:hAnsi="Cambria" w:cs="Times New Roman"/>
        </w:rPr>
        <w:t>3</w:t>
      </w:r>
      <w:r>
        <w:rPr>
          <w:rFonts w:ascii="Cambria" w:hAnsi="Cambria" w:cs="Times New Roman"/>
        </w:rPr>
        <w:t xml:space="preserve">. The most recent Educational Services sector workplace injury/illness statistics are used for comparison. Calculations and definitions used are found </w:t>
      </w:r>
      <w:hyperlink r:id="rId13" w:history="1">
        <w:r w:rsidR="00C740FB" w:rsidRPr="00C740FB">
          <w:rPr>
            <w:rStyle w:val="Hyperlink"/>
            <w:rFonts w:ascii="Cambria" w:hAnsi="Cambria" w:cs="Times New Roman"/>
          </w:rPr>
          <w:t>here.</w:t>
        </w:r>
      </w:hyperlink>
    </w:p>
    <w:p w14:paraId="5F1FF1CB" w14:textId="77777777" w:rsidR="00F929D1" w:rsidRDefault="00F929D1">
      <w:pPr>
        <w:rPr>
          <w:rFonts w:ascii="Cambria" w:hAnsi="Cambria" w:cs="Times New Roman"/>
        </w:rPr>
      </w:pPr>
    </w:p>
    <w:p w14:paraId="678BDE46" w14:textId="77777777" w:rsidR="00F929D1" w:rsidRDefault="00F929D1">
      <w:pPr>
        <w:rPr>
          <w:rFonts w:ascii="Cambria" w:hAnsi="Cambria"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1562"/>
        <w:gridCol w:w="1601"/>
        <w:gridCol w:w="1448"/>
        <w:gridCol w:w="1874"/>
      </w:tblGrid>
      <w:tr w:rsidR="00866ADC" w:rsidRPr="00044BDC" w14:paraId="5773E131" w14:textId="77777777" w:rsidTr="00866ADC">
        <w:tc>
          <w:tcPr>
            <w:tcW w:w="3140" w:type="dxa"/>
          </w:tcPr>
          <w:p w14:paraId="7BDB01FC" w14:textId="77777777" w:rsidR="00866ADC" w:rsidRPr="00044BDC" w:rsidRDefault="00866ADC" w:rsidP="00866ADC">
            <w:pPr>
              <w:rPr>
                <w:rFonts w:ascii="Times New Roman" w:hAnsi="Times New Roman" w:cs="Times New Roman"/>
                <w:b/>
              </w:rPr>
            </w:pPr>
            <w:r w:rsidRPr="00044BDC">
              <w:rPr>
                <w:rFonts w:ascii="Times New Roman" w:hAnsi="Times New Roman" w:cs="Times New Roman"/>
                <w:b/>
              </w:rPr>
              <w:t>Injury and Lost Time Statistics (rates are per 100 employees)</w:t>
            </w:r>
          </w:p>
        </w:tc>
        <w:tc>
          <w:tcPr>
            <w:tcW w:w="1562" w:type="dxa"/>
          </w:tcPr>
          <w:p w14:paraId="1BE82998" w14:textId="5B949D66" w:rsidR="00866ADC" w:rsidRPr="00044BDC" w:rsidRDefault="00866ADC" w:rsidP="00866ADC">
            <w:pPr>
              <w:rPr>
                <w:rFonts w:ascii="Times New Roman" w:hAnsi="Times New Roman" w:cs="Times New Roman"/>
                <w:b/>
              </w:rPr>
            </w:pPr>
            <w:r w:rsidRPr="00044BDC">
              <w:rPr>
                <w:rFonts w:ascii="Times New Roman" w:hAnsi="Times New Roman" w:cs="Times New Roman"/>
                <w:b/>
              </w:rPr>
              <w:t>20</w:t>
            </w:r>
            <w:r w:rsidR="00D56824">
              <w:rPr>
                <w:rFonts w:ascii="Times New Roman" w:hAnsi="Times New Roman" w:cs="Times New Roman"/>
                <w:b/>
              </w:rPr>
              <w:t>23</w:t>
            </w:r>
            <w:r w:rsidRPr="00044BDC">
              <w:rPr>
                <w:rFonts w:ascii="Times New Roman" w:hAnsi="Times New Roman" w:cs="Times New Roman"/>
                <w:b/>
              </w:rPr>
              <w:t xml:space="preserve"> PLU</w:t>
            </w:r>
          </w:p>
        </w:tc>
        <w:tc>
          <w:tcPr>
            <w:tcW w:w="1601" w:type="dxa"/>
          </w:tcPr>
          <w:p w14:paraId="3490683D" w14:textId="06173F55" w:rsidR="00866ADC" w:rsidRPr="00044BDC" w:rsidRDefault="00866ADC" w:rsidP="00866ADC">
            <w:pPr>
              <w:rPr>
                <w:rFonts w:ascii="Times New Roman" w:hAnsi="Times New Roman" w:cs="Times New Roman"/>
                <w:b/>
              </w:rPr>
            </w:pPr>
            <w:r w:rsidRPr="00044BDC">
              <w:rPr>
                <w:rFonts w:ascii="Times New Roman" w:hAnsi="Times New Roman" w:cs="Times New Roman"/>
                <w:b/>
              </w:rPr>
              <w:t>20</w:t>
            </w:r>
            <w:r>
              <w:rPr>
                <w:rFonts w:ascii="Times New Roman" w:hAnsi="Times New Roman" w:cs="Times New Roman"/>
                <w:b/>
              </w:rPr>
              <w:t>2</w:t>
            </w:r>
            <w:r w:rsidR="00D56824">
              <w:rPr>
                <w:rFonts w:ascii="Times New Roman" w:hAnsi="Times New Roman" w:cs="Times New Roman"/>
                <w:b/>
              </w:rPr>
              <w:t>2</w:t>
            </w:r>
            <w:r w:rsidRPr="00044BDC">
              <w:rPr>
                <w:rFonts w:ascii="Times New Roman" w:hAnsi="Times New Roman" w:cs="Times New Roman"/>
                <w:b/>
              </w:rPr>
              <w:t xml:space="preserve"> PLU</w:t>
            </w:r>
          </w:p>
        </w:tc>
        <w:tc>
          <w:tcPr>
            <w:tcW w:w="1448" w:type="dxa"/>
          </w:tcPr>
          <w:p w14:paraId="22FBB298" w14:textId="7576E3D0" w:rsidR="00866ADC" w:rsidRPr="00044BDC" w:rsidRDefault="00D56824" w:rsidP="00866ADC">
            <w:pPr>
              <w:rPr>
                <w:rFonts w:ascii="Times New Roman" w:hAnsi="Times New Roman" w:cs="Times New Roman"/>
                <w:b/>
              </w:rPr>
            </w:pPr>
            <w:r>
              <w:rPr>
                <w:rFonts w:ascii="Times New Roman" w:hAnsi="Times New Roman" w:cs="Times New Roman"/>
                <w:b/>
              </w:rPr>
              <w:t>2021 PLU</w:t>
            </w:r>
          </w:p>
        </w:tc>
        <w:tc>
          <w:tcPr>
            <w:tcW w:w="1874" w:type="dxa"/>
          </w:tcPr>
          <w:p w14:paraId="2CFF412B" w14:textId="73C53E47" w:rsidR="00866ADC" w:rsidRPr="00044BDC" w:rsidRDefault="00866ADC" w:rsidP="00866ADC">
            <w:pPr>
              <w:rPr>
                <w:rFonts w:ascii="Times New Roman" w:hAnsi="Times New Roman" w:cs="Times New Roman"/>
                <w:b/>
              </w:rPr>
            </w:pPr>
            <w:r w:rsidRPr="00044BDC">
              <w:rPr>
                <w:rFonts w:ascii="Times New Roman" w:hAnsi="Times New Roman" w:cs="Times New Roman"/>
                <w:b/>
              </w:rPr>
              <w:t>20</w:t>
            </w:r>
            <w:r>
              <w:rPr>
                <w:rFonts w:ascii="Times New Roman" w:hAnsi="Times New Roman" w:cs="Times New Roman"/>
                <w:b/>
              </w:rPr>
              <w:t>2</w:t>
            </w:r>
            <w:r w:rsidR="00D56824">
              <w:rPr>
                <w:rFonts w:ascii="Times New Roman" w:hAnsi="Times New Roman" w:cs="Times New Roman"/>
                <w:b/>
              </w:rPr>
              <w:t>3</w:t>
            </w:r>
            <w:r w:rsidRPr="00044BDC">
              <w:rPr>
                <w:rFonts w:ascii="Times New Roman" w:hAnsi="Times New Roman" w:cs="Times New Roman"/>
                <w:b/>
              </w:rPr>
              <w:t xml:space="preserve"> Colleges, Universities (BLS)* </w:t>
            </w:r>
          </w:p>
        </w:tc>
      </w:tr>
      <w:tr w:rsidR="00866ADC" w:rsidRPr="00044BDC" w14:paraId="0D7B8C9B" w14:textId="77777777" w:rsidTr="00866ADC">
        <w:tc>
          <w:tcPr>
            <w:tcW w:w="3140" w:type="dxa"/>
          </w:tcPr>
          <w:p w14:paraId="1392F516" w14:textId="77777777" w:rsidR="00866ADC" w:rsidRPr="00044BDC" w:rsidRDefault="00866ADC" w:rsidP="00866ADC">
            <w:pPr>
              <w:rPr>
                <w:rFonts w:ascii="Times New Roman" w:hAnsi="Times New Roman" w:cs="Times New Roman"/>
              </w:rPr>
            </w:pPr>
            <w:r w:rsidRPr="00044BDC">
              <w:rPr>
                <w:rFonts w:ascii="Times New Roman" w:hAnsi="Times New Roman" w:cs="Times New Roman"/>
              </w:rPr>
              <w:t xml:space="preserve">Annual Average Number of Employees </w:t>
            </w:r>
          </w:p>
        </w:tc>
        <w:tc>
          <w:tcPr>
            <w:tcW w:w="1562" w:type="dxa"/>
          </w:tcPr>
          <w:p w14:paraId="07D11022" w14:textId="158736C8" w:rsidR="00866ADC" w:rsidRPr="00044BDC" w:rsidRDefault="00866ADC" w:rsidP="00866ADC">
            <w:pPr>
              <w:rPr>
                <w:rFonts w:ascii="Times New Roman" w:hAnsi="Times New Roman" w:cs="Times New Roman"/>
              </w:rPr>
            </w:pPr>
            <w:r w:rsidRPr="00044BDC">
              <w:rPr>
                <w:rFonts w:ascii="Times New Roman" w:hAnsi="Times New Roman" w:cs="Times New Roman"/>
              </w:rPr>
              <w:t>1,</w:t>
            </w:r>
            <w:r w:rsidR="00D56824">
              <w:rPr>
                <w:rFonts w:ascii="Times New Roman" w:hAnsi="Times New Roman" w:cs="Times New Roman"/>
              </w:rPr>
              <w:t>189</w:t>
            </w:r>
          </w:p>
        </w:tc>
        <w:tc>
          <w:tcPr>
            <w:tcW w:w="1601" w:type="dxa"/>
          </w:tcPr>
          <w:p w14:paraId="7A64923C" w14:textId="1481116C" w:rsidR="00866ADC" w:rsidRPr="00044BDC" w:rsidRDefault="00D56824" w:rsidP="00866ADC">
            <w:pPr>
              <w:rPr>
                <w:rFonts w:ascii="Times New Roman" w:hAnsi="Times New Roman" w:cs="Times New Roman"/>
              </w:rPr>
            </w:pPr>
            <w:r>
              <w:rPr>
                <w:rFonts w:ascii="Times New Roman" w:hAnsi="Times New Roman" w:cs="Times New Roman"/>
              </w:rPr>
              <w:t>1217</w:t>
            </w:r>
          </w:p>
        </w:tc>
        <w:tc>
          <w:tcPr>
            <w:tcW w:w="1448" w:type="dxa"/>
          </w:tcPr>
          <w:p w14:paraId="7F4AF63D" w14:textId="46DBBF88" w:rsidR="00866ADC" w:rsidRPr="00044BDC" w:rsidRDefault="00D56824" w:rsidP="00866ADC">
            <w:pPr>
              <w:rPr>
                <w:rFonts w:ascii="Times New Roman" w:hAnsi="Times New Roman" w:cs="Times New Roman"/>
              </w:rPr>
            </w:pPr>
            <w:r>
              <w:rPr>
                <w:rFonts w:ascii="Times New Roman" w:hAnsi="Times New Roman" w:cs="Times New Roman"/>
              </w:rPr>
              <w:t>1158</w:t>
            </w:r>
          </w:p>
        </w:tc>
        <w:tc>
          <w:tcPr>
            <w:tcW w:w="1874" w:type="dxa"/>
          </w:tcPr>
          <w:p w14:paraId="79D57878" w14:textId="77777777" w:rsidR="00866ADC" w:rsidRPr="00044BDC" w:rsidRDefault="00866ADC" w:rsidP="00866ADC">
            <w:pPr>
              <w:rPr>
                <w:rFonts w:ascii="Times New Roman" w:hAnsi="Times New Roman" w:cs="Times New Roman"/>
              </w:rPr>
            </w:pPr>
          </w:p>
        </w:tc>
      </w:tr>
      <w:tr w:rsidR="00866ADC" w:rsidRPr="00044BDC" w14:paraId="5E946B3F" w14:textId="77777777" w:rsidTr="00866ADC">
        <w:tc>
          <w:tcPr>
            <w:tcW w:w="3140" w:type="dxa"/>
          </w:tcPr>
          <w:p w14:paraId="57CDD745" w14:textId="77777777" w:rsidR="00866ADC" w:rsidRPr="00044BDC" w:rsidRDefault="00866ADC" w:rsidP="00866ADC">
            <w:pPr>
              <w:rPr>
                <w:rFonts w:ascii="Times New Roman" w:hAnsi="Times New Roman" w:cs="Times New Roman"/>
              </w:rPr>
            </w:pPr>
            <w:r w:rsidRPr="00044BDC">
              <w:rPr>
                <w:rFonts w:ascii="Times New Roman" w:hAnsi="Times New Roman" w:cs="Times New Roman"/>
              </w:rPr>
              <w:t xml:space="preserve">Total Number of Hours Worked  </w:t>
            </w:r>
          </w:p>
        </w:tc>
        <w:tc>
          <w:tcPr>
            <w:tcW w:w="1562" w:type="dxa"/>
          </w:tcPr>
          <w:p w14:paraId="0EC85E6B" w14:textId="34992EF1" w:rsidR="00866ADC" w:rsidRPr="00044BDC" w:rsidRDefault="00D56824" w:rsidP="00866ADC">
            <w:pPr>
              <w:rPr>
                <w:rFonts w:ascii="Times New Roman" w:hAnsi="Times New Roman" w:cs="Times New Roman"/>
              </w:rPr>
            </w:pPr>
            <w:r>
              <w:rPr>
                <w:rFonts w:ascii="Times New Roman" w:hAnsi="Times New Roman" w:cs="Times New Roman"/>
              </w:rPr>
              <w:t>1,286,566</w:t>
            </w:r>
          </w:p>
        </w:tc>
        <w:tc>
          <w:tcPr>
            <w:tcW w:w="1601" w:type="dxa"/>
          </w:tcPr>
          <w:p w14:paraId="37DAD503" w14:textId="30C3D5C1" w:rsidR="00866ADC" w:rsidRPr="00044BDC" w:rsidRDefault="00866ADC" w:rsidP="00866ADC">
            <w:pPr>
              <w:rPr>
                <w:rFonts w:ascii="Times New Roman" w:hAnsi="Times New Roman" w:cs="Times New Roman"/>
              </w:rPr>
            </w:pPr>
            <w:r w:rsidRPr="00044BDC">
              <w:rPr>
                <w:rFonts w:ascii="Times New Roman" w:hAnsi="Times New Roman" w:cs="Times New Roman"/>
              </w:rPr>
              <w:t>1,</w:t>
            </w:r>
            <w:r w:rsidR="00D56824">
              <w:rPr>
                <w:rFonts w:ascii="Times New Roman" w:hAnsi="Times New Roman" w:cs="Times New Roman"/>
              </w:rPr>
              <w:t>228,476</w:t>
            </w:r>
          </w:p>
        </w:tc>
        <w:tc>
          <w:tcPr>
            <w:tcW w:w="1448" w:type="dxa"/>
          </w:tcPr>
          <w:p w14:paraId="612A9906" w14:textId="1D196A3C" w:rsidR="00866ADC" w:rsidRPr="00044BDC" w:rsidRDefault="00D56824" w:rsidP="00866ADC">
            <w:pPr>
              <w:rPr>
                <w:rFonts w:ascii="Times New Roman" w:hAnsi="Times New Roman" w:cs="Times New Roman"/>
              </w:rPr>
            </w:pPr>
            <w:r>
              <w:rPr>
                <w:rFonts w:ascii="Times New Roman" w:hAnsi="Times New Roman" w:cs="Times New Roman"/>
              </w:rPr>
              <w:t>1,255,273</w:t>
            </w:r>
          </w:p>
        </w:tc>
        <w:tc>
          <w:tcPr>
            <w:tcW w:w="1874" w:type="dxa"/>
          </w:tcPr>
          <w:p w14:paraId="3A3D5937" w14:textId="77777777" w:rsidR="00866ADC" w:rsidRPr="00044BDC" w:rsidRDefault="00866ADC" w:rsidP="00866ADC">
            <w:pPr>
              <w:rPr>
                <w:rFonts w:ascii="Times New Roman" w:hAnsi="Times New Roman" w:cs="Times New Roman"/>
              </w:rPr>
            </w:pPr>
          </w:p>
        </w:tc>
      </w:tr>
      <w:tr w:rsidR="00866ADC" w:rsidRPr="00044BDC" w14:paraId="3768EF67" w14:textId="77777777" w:rsidTr="00866ADC">
        <w:trPr>
          <w:trHeight w:val="458"/>
        </w:trPr>
        <w:tc>
          <w:tcPr>
            <w:tcW w:w="3140" w:type="dxa"/>
          </w:tcPr>
          <w:p w14:paraId="7EE328AC" w14:textId="77777777" w:rsidR="00866ADC" w:rsidRPr="00044BDC" w:rsidRDefault="00866ADC" w:rsidP="00866ADC">
            <w:pPr>
              <w:rPr>
                <w:rFonts w:ascii="Times New Roman" w:hAnsi="Times New Roman" w:cs="Times New Roman"/>
              </w:rPr>
            </w:pPr>
            <w:r w:rsidRPr="00044BDC">
              <w:rPr>
                <w:rFonts w:ascii="Times New Roman" w:hAnsi="Times New Roman" w:cs="Times New Roman"/>
              </w:rPr>
              <w:t>Incident rate (IR)</w:t>
            </w:r>
          </w:p>
        </w:tc>
        <w:tc>
          <w:tcPr>
            <w:tcW w:w="1562" w:type="dxa"/>
          </w:tcPr>
          <w:p w14:paraId="6B9C580D" w14:textId="6138E4FC" w:rsidR="00866ADC" w:rsidRPr="00044BDC" w:rsidRDefault="00F573FB" w:rsidP="00866ADC">
            <w:pPr>
              <w:rPr>
                <w:rFonts w:ascii="Times New Roman" w:hAnsi="Times New Roman" w:cs="Times New Roman"/>
              </w:rPr>
            </w:pPr>
            <w:r>
              <w:rPr>
                <w:rFonts w:ascii="Times New Roman" w:hAnsi="Times New Roman" w:cs="Times New Roman"/>
              </w:rPr>
              <w:t>2.4</w:t>
            </w:r>
          </w:p>
        </w:tc>
        <w:tc>
          <w:tcPr>
            <w:tcW w:w="1601" w:type="dxa"/>
          </w:tcPr>
          <w:p w14:paraId="67EAD771" w14:textId="774FA243" w:rsidR="00866ADC" w:rsidRPr="00044BDC" w:rsidRDefault="00F573FB" w:rsidP="00866ADC">
            <w:pPr>
              <w:rPr>
                <w:rFonts w:ascii="Times New Roman" w:hAnsi="Times New Roman" w:cs="Times New Roman"/>
              </w:rPr>
            </w:pPr>
            <w:r>
              <w:rPr>
                <w:rFonts w:ascii="Times New Roman" w:hAnsi="Times New Roman" w:cs="Times New Roman"/>
              </w:rPr>
              <w:t>1.9</w:t>
            </w:r>
          </w:p>
        </w:tc>
        <w:tc>
          <w:tcPr>
            <w:tcW w:w="1448" w:type="dxa"/>
          </w:tcPr>
          <w:p w14:paraId="3757F978" w14:textId="5B77109F" w:rsidR="00866ADC" w:rsidRPr="00044BDC" w:rsidRDefault="00D56824" w:rsidP="00866ADC">
            <w:pPr>
              <w:rPr>
                <w:rFonts w:ascii="Times New Roman" w:hAnsi="Times New Roman" w:cs="Times New Roman"/>
              </w:rPr>
            </w:pPr>
            <w:r>
              <w:rPr>
                <w:rFonts w:ascii="Times New Roman" w:hAnsi="Times New Roman" w:cs="Times New Roman"/>
              </w:rPr>
              <w:t>1.6</w:t>
            </w:r>
          </w:p>
        </w:tc>
        <w:tc>
          <w:tcPr>
            <w:tcW w:w="1874" w:type="dxa"/>
          </w:tcPr>
          <w:p w14:paraId="450A4E41" w14:textId="558F03FB" w:rsidR="00866ADC" w:rsidRPr="00044BDC" w:rsidRDefault="007919A9" w:rsidP="00866ADC">
            <w:pPr>
              <w:rPr>
                <w:rFonts w:ascii="Times New Roman" w:hAnsi="Times New Roman" w:cs="Times New Roman"/>
              </w:rPr>
            </w:pPr>
            <w:r>
              <w:rPr>
                <w:rFonts w:ascii="Times New Roman" w:hAnsi="Times New Roman" w:cs="Times New Roman"/>
              </w:rPr>
              <w:t>0.6</w:t>
            </w:r>
          </w:p>
        </w:tc>
      </w:tr>
      <w:tr w:rsidR="00866ADC" w:rsidRPr="00044BDC" w14:paraId="7FECD05E" w14:textId="77777777" w:rsidTr="00866ADC">
        <w:tc>
          <w:tcPr>
            <w:tcW w:w="3140" w:type="dxa"/>
          </w:tcPr>
          <w:p w14:paraId="4FB50973" w14:textId="77777777" w:rsidR="00866ADC" w:rsidRPr="00044BDC" w:rsidRDefault="00866ADC" w:rsidP="00866ADC">
            <w:pPr>
              <w:rPr>
                <w:rFonts w:ascii="Times New Roman" w:hAnsi="Times New Roman" w:cs="Times New Roman"/>
              </w:rPr>
            </w:pPr>
            <w:r w:rsidRPr="00044BDC">
              <w:rPr>
                <w:rFonts w:ascii="Times New Roman" w:hAnsi="Times New Roman" w:cs="Times New Roman"/>
              </w:rPr>
              <w:t>Lost time cases (LTC)</w:t>
            </w:r>
          </w:p>
        </w:tc>
        <w:tc>
          <w:tcPr>
            <w:tcW w:w="1562" w:type="dxa"/>
          </w:tcPr>
          <w:p w14:paraId="6F38621B" w14:textId="2409EE90" w:rsidR="00866ADC" w:rsidRPr="00044BDC" w:rsidRDefault="00B56E2F" w:rsidP="00866ADC">
            <w:pPr>
              <w:rPr>
                <w:rFonts w:ascii="Times New Roman" w:hAnsi="Times New Roman" w:cs="Times New Roman"/>
              </w:rPr>
            </w:pPr>
            <w:r>
              <w:rPr>
                <w:rFonts w:ascii="Times New Roman" w:hAnsi="Times New Roman" w:cs="Times New Roman"/>
              </w:rPr>
              <w:t>1.2</w:t>
            </w:r>
          </w:p>
        </w:tc>
        <w:tc>
          <w:tcPr>
            <w:tcW w:w="1601" w:type="dxa"/>
          </w:tcPr>
          <w:p w14:paraId="6118A423" w14:textId="7CCB6FCB" w:rsidR="00866ADC" w:rsidRPr="00044BDC" w:rsidRDefault="00F573FB" w:rsidP="00866ADC">
            <w:pPr>
              <w:rPr>
                <w:rFonts w:ascii="Times New Roman" w:hAnsi="Times New Roman" w:cs="Times New Roman"/>
              </w:rPr>
            </w:pPr>
            <w:r>
              <w:rPr>
                <w:rFonts w:ascii="Times New Roman" w:hAnsi="Times New Roman" w:cs="Times New Roman"/>
              </w:rPr>
              <w:t>0.6</w:t>
            </w:r>
          </w:p>
        </w:tc>
        <w:tc>
          <w:tcPr>
            <w:tcW w:w="1448" w:type="dxa"/>
          </w:tcPr>
          <w:p w14:paraId="095DB626" w14:textId="0BC28A1A" w:rsidR="00866ADC" w:rsidRPr="00044BDC" w:rsidRDefault="00D56824" w:rsidP="00866ADC">
            <w:pPr>
              <w:rPr>
                <w:rFonts w:ascii="Times New Roman" w:hAnsi="Times New Roman" w:cs="Times New Roman"/>
              </w:rPr>
            </w:pPr>
            <w:r>
              <w:rPr>
                <w:rFonts w:ascii="Times New Roman" w:hAnsi="Times New Roman" w:cs="Times New Roman"/>
              </w:rPr>
              <w:t>1.0</w:t>
            </w:r>
          </w:p>
        </w:tc>
        <w:tc>
          <w:tcPr>
            <w:tcW w:w="1874" w:type="dxa"/>
          </w:tcPr>
          <w:p w14:paraId="6B2184B4" w14:textId="7C9E0A8B" w:rsidR="00866ADC" w:rsidRPr="00044BDC" w:rsidRDefault="00866ADC" w:rsidP="00866ADC">
            <w:pPr>
              <w:rPr>
                <w:rFonts w:ascii="Times New Roman" w:hAnsi="Times New Roman" w:cs="Times New Roman"/>
              </w:rPr>
            </w:pPr>
            <w:r w:rsidRPr="00044BDC">
              <w:rPr>
                <w:rFonts w:ascii="Times New Roman" w:hAnsi="Times New Roman" w:cs="Times New Roman"/>
              </w:rPr>
              <w:t>0.</w:t>
            </w:r>
            <w:r w:rsidR="007919A9">
              <w:rPr>
                <w:rFonts w:ascii="Times New Roman" w:hAnsi="Times New Roman" w:cs="Times New Roman"/>
              </w:rPr>
              <w:t>4</w:t>
            </w:r>
          </w:p>
        </w:tc>
      </w:tr>
      <w:tr w:rsidR="00866ADC" w:rsidRPr="00044BDC" w14:paraId="08641A48" w14:textId="77777777" w:rsidTr="00866ADC">
        <w:tc>
          <w:tcPr>
            <w:tcW w:w="3140" w:type="dxa"/>
          </w:tcPr>
          <w:p w14:paraId="3B02A467" w14:textId="77777777" w:rsidR="00866ADC" w:rsidRPr="00044BDC" w:rsidRDefault="00866ADC" w:rsidP="00866ADC">
            <w:pPr>
              <w:rPr>
                <w:rFonts w:ascii="Times New Roman" w:hAnsi="Times New Roman" w:cs="Times New Roman"/>
              </w:rPr>
            </w:pPr>
            <w:r w:rsidRPr="00044BDC">
              <w:rPr>
                <w:rFonts w:ascii="Times New Roman" w:hAnsi="Times New Roman" w:cs="Times New Roman"/>
              </w:rPr>
              <w:t>Days Away/Restricted or Job Transfer Rate (DART)</w:t>
            </w:r>
          </w:p>
        </w:tc>
        <w:tc>
          <w:tcPr>
            <w:tcW w:w="1562" w:type="dxa"/>
          </w:tcPr>
          <w:p w14:paraId="6F69DFCD" w14:textId="254C4B7B" w:rsidR="00866ADC" w:rsidRPr="00044BDC" w:rsidRDefault="00B56E2F" w:rsidP="00866ADC">
            <w:pPr>
              <w:rPr>
                <w:rFonts w:ascii="Times New Roman" w:hAnsi="Times New Roman" w:cs="Times New Roman"/>
              </w:rPr>
            </w:pPr>
            <w:r>
              <w:rPr>
                <w:rFonts w:ascii="Times New Roman" w:hAnsi="Times New Roman" w:cs="Times New Roman"/>
              </w:rPr>
              <w:t>1.2</w:t>
            </w:r>
          </w:p>
        </w:tc>
        <w:tc>
          <w:tcPr>
            <w:tcW w:w="1601" w:type="dxa"/>
          </w:tcPr>
          <w:p w14:paraId="4BBBBA40" w14:textId="5A878232" w:rsidR="00866ADC" w:rsidRPr="00044BDC" w:rsidRDefault="00646ED5" w:rsidP="00866ADC">
            <w:pPr>
              <w:rPr>
                <w:rFonts w:ascii="Times New Roman" w:hAnsi="Times New Roman" w:cs="Times New Roman"/>
              </w:rPr>
            </w:pPr>
            <w:r>
              <w:rPr>
                <w:rFonts w:ascii="Times New Roman" w:hAnsi="Times New Roman" w:cs="Times New Roman"/>
              </w:rPr>
              <w:t>1.1</w:t>
            </w:r>
          </w:p>
        </w:tc>
        <w:tc>
          <w:tcPr>
            <w:tcW w:w="1448" w:type="dxa"/>
          </w:tcPr>
          <w:p w14:paraId="7BE50FF9" w14:textId="4FFB7609" w:rsidR="00866ADC" w:rsidRPr="00044BDC" w:rsidRDefault="00D56824" w:rsidP="00866ADC">
            <w:pPr>
              <w:rPr>
                <w:rFonts w:ascii="Times New Roman" w:hAnsi="Times New Roman" w:cs="Times New Roman"/>
              </w:rPr>
            </w:pPr>
            <w:r>
              <w:rPr>
                <w:rFonts w:ascii="Times New Roman" w:hAnsi="Times New Roman" w:cs="Times New Roman"/>
              </w:rPr>
              <w:t>0.2</w:t>
            </w:r>
          </w:p>
        </w:tc>
        <w:tc>
          <w:tcPr>
            <w:tcW w:w="1874" w:type="dxa"/>
          </w:tcPr>
          <w:p w14:paraId="1DA2C4C9" w14:textId="0B0019EE" w:rsidR="00866ADC" w:rsidRPr="00044BDC" w:rsidRDefault="00866ADC" w:rsidP="00866ADC">
            <w:pPr>
              <w:rPr>
                <w:rFonts w:ascii="Times New Roman" w:hAnsi="Times New Roman" w:cs="Times New Roman"/>
              </w:rPr>
            </w:pPr>
            <w:r w:rsidRPr="00044BDC">
              <w:rPr>
                <w:rFonts w:ascii="Times New Roman" w:hAnsi="Times New Roman" w:cs="Times New Roman"/>
              </w:rPr>
              <w:t>0.</w:t>
            </w:r>
            <w:r w:rsidR="004F3FF4">
              <w:rPr>
                <w:rFonts w:ascii="Times New Roman" w:hAnsi="Times New Roman" w:cs="Times New Roman"/>
              </w:rPr>
              <w:t>2</w:t>
            </w:r>
          </w:p>
        </w:tc>
      </w:tr>
    </w:tbl>
    <w:p w14:paraId="633B8061" w14:textId="77777777" w:rsidR="004F3FF4" w:rsidRPr="004F3FF4" w:rsidRDefault="004F3FF4">
      <w:pPr>
        <w:rPr>
          <w:rFonts w:ascii="Cambria" w:hAnsi="Cambria" w:cs="Times New Roman"/>
        </w:rPr>
      </w:pPr>
      <w:r>
        <w:rPr>
          <w:rFonts w:ascii="Cambria" w:hAnsi="Cambria" w:cs="Times New Roman"/>
        </w:rPr>
        <w:t xml:space="preserve">BLS Incidence Rates of Nonfatal Occupational Injuries and Illnesses by Industry and Case Types -2023 - </w:t>
      </w:r>
      <w:r>
        <w:rPr>
          <w:rFonts w:ascii="Cambria" w:hAnsi="Cambria" w:cs="Times New Roman"/>
        </w:rPr>
        <w:fldChar w:fldCharType="begin"/>
      </w:r>
      <w:r>
        <w:rPr>
          <w:rFonts w:ascii="Cambria" w:hAnsi="Cambria" w:cs="Times New Roman"/>
        </w:rPr>
        <w:instrText>HYPERLINK "</w:instrText>
      </w:r>
      <w:r w:rsidRPr="004F3FF4">
        <w:rPr>
          <w:rFonts w:ascii="Cambria" w:hAnsi="Cambria" w:cs="Times New Roman"/>
        </w:rPr>
        <w:instrText>https://www.bls.gov/web/osh/table-1-industry-rates-national.htm</w:instrText>
      </w:r>
    </w:p>
    <w:p w14:paraId="7CB8E852" w14:textId="77777777" w:rsidR="004F3FF4" w:rsidRPr="00477A84" w:rsidRDefault="004F3FF4">
      <w:pPr>
        <w:rPr>
          <w:rStyle w:val="Hyperlink"/>
          <w:rFonts w:ascii="Cambria" w:hAnsi="Cambria" w:cs="Times New Roman"/>
        </w:rPr>
      </w:pPr>
      <w:r>
        <w:rPr>
          <w:rFonts w:ascii="Cambria" w:hAnsi="Cambria" w:cs="Times New Roman"/>
        </w:rPr>
        <w:instrText>"</w:instrText>
      </w:r>
      <w:r>
        <w:rPr>
          <w:rFonts w:ascii="Cambria" w:hAnsi="Cambria" w:cs="Times New Roman"/>
        </w:rPr>
      </w:r>
      <w:r>
        <w:rPr>
          <w:rFonts w:ascii="Cambria" w:hAnsi="Cambria" w:cs="Times New Roman"/>
        </w:rPr>
        <w:fldChar w:fldCharType="separate"/>
      </w:r>
      <w:r w:rsidRPr="00477A84">
        <w:rPr>
          <w:rStyle w:val="Hyperlink"/>
          <w:rFonts w:ascii="Cambria" w:hAnsi="Cambria" w:cs="Times New Roman"/>
        </w:rPr>
        <w:t>https://www.bls.gov/web/osh/table-1-industry-rates-national.htm</w:t>
      </w:r>
    </w:p>
    <w:p w14:paraId="5A94499D" w14:textId="5CB57EE2" w:rsidR="00F929D1" w:rsidRDefault="004F3FF4">
      <w:pPr>
        <w:rPr>
          <w:rFonts w:ascii="Cambria" w:hAnsi="Cambria" w:cs="Times New Roman"/>
        </w:rPr>
      </w:pPr>
      <w:r>
        <w:rPr>
          <w:rFonts w:ascii="Cambria" w:hAnsi="Cambria" w:cs="Times New Roman"/>
        </w:rPr>
        <w:fldChar w:fldCharType="end"/>
      </w:r>
    </w:p>
    <w:p w14:paraId="05D8E5CE" w14:textId="77777777" w:rsidR="00F929D1" w:rsidRDefault="00683BBC">
      <w:pPr>
        <w:rPr>
          <w:rFonts w:ascii="Cambria" w:hAnsi="Cambria" w:cs="Times New Roman"/>
        </w:rPr>
      </w:pPr>
      <w:r>
        <w:rPr>
          <w:rFonts w:ascii="Cambria" w:hAnsi="Cambria" w:cs="Times New Roman"/>
        </w:rPr>
        <w:t xml:space="preserve">Please contact </w:t>
      </w:r>
      <w:r w:rsidR="00011956">
        <w:rPr>
          <w:rFonts w:ascii="Cambria" w:hAnsi="Cambria" w:cs="Times New Roman"/>
        </w:rPr>
        <w:t>James Fulkerson, Environmental Health &amp; Safety Manager,</w:t>
      </w:r>
      <w:r>
        <w:rPr>
          <w:rFonts w:ascii="Cambria" w:hAnsi="Cambria" w:cs="Times New Roman"/>
        </w:rPr>
        <w:t xml:space="preserve"> if you have any questions regarding this report.</w:t>
      </w:r>
    </w:p>
    <w:p w14:paraId="6CF4B42C" w14:textId="77777777" w:rsidR="00F929D1" w:rsidRDefault="00F929D1">
      <w:pPr>
        <w:rPr>
          <w:rFonts w:ascii="Cambria" w:hAnsi="Cambria" w:cs="Times New Roman"/>
        </w:rPr>
      </w:pPr>
    </w:p>
    <w:p w14:paraId="02B0FFDD" w14:textId="77777777" w:rsidR="00F929D1" w:rsidRDefault="00F929D1">
      <w:pPr>
        <w:rPr>
          <w:rFonts w:ascii="Cambria" w:hAnsi="Cambria" w:cs="Times New Roman"/>
        </w:rPr>
      </w:pPr>
    </w:p>
    <w:p w14:paraId="5B5468C5" w14:textId="77777777" w:rsidR="00F929D1" w:rsidRDefault="00F929D1">
      <w:pPr>
        <w:rPr>
          <w:rFonts w:ascii="Cambria" w:hAnsi="Cambria" w:cs="Times New Roman"/>
        </w:rPr>
      </w:pPr>
    </w:p>
    <w:p w14:paraId="50444335" w14:textId="77777777" w:rsidR="00F929D1" w:rsidRDefault="00F929D1">
      <w:pPr>
        <w:rPr>
          <w:rFonts w:ascii="Cambria" w:hAnsi="Cambria" w:cs="Times New Roman"/>
        </w:rPr>
      </w:pPr>
    </w:p>
    <w:p w14:paraId="65D31979" w14:textId="77777777" w:rsidR="00F929D1" w:rsidRDefault="00F929D1">
      <w:pPr>
        <w:rPr>
          <w:rFonts w:ascii="Cambria" w:hAnsi="Cambria" w:cs="Times New Roman"/>
        </w:rPr>
      </w:pPr>
    </w:p>
    <w:p w14:paraId="6E853343" w14:textId="77777777" w:rsidR="004618C3" w:rsidRPr="00EE2075" w:rsidRDefault="004618C3">
      <w:pPr>
        <w:rPr>
          <w:rFonts w:ascii="Cambria" w:hAnsi="Cambria" w:cs="Times New Roman"/>
        </w:rPr>
      </w:pPr>
    </w:p>
    <w:sectPr w:rsidR="004618C3" w:rsidRPr="00EE2075" w:rsidSect="00866AD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61F5" w14:textId="77777777" w:rsidR="006A68D2" w:rsidRDefault="006A68D2" w:rsidP="006A68D2">
      <w:r>
        <w:separator/>
      </w:r>
    </w:p>
  </w:endnote>
  <w:endnote w:type="continuationSeparator" w:id="0">
    <w:p w14:paraId="7DE8E007" w14:textId="77777777" w:rsidR="006A68D2" w:rsidRDefault="006A68D2" w:rsidP="006A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4302" w14:textId="77777777" w:rsidR="00683BBC" w:rsidRDefault="00683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2412" w14:textId="77777777" w:rsidR="00683BBC" w:rsidRDefault="00683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FDD8" w14:textId="77777777" w:rsidR="00683BBC" w:rsidRDefault="0068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9EE8" w14:textId="77777777" w:rsidR="006A68D2" w:rsidRDefault="006A68D2" w:rsidP="006A68D2">
      <w:r>
        <w:separator/>
      </w:r>
    </w:p>
  </w:footnote>
  <w:footnote w:type="continuationSeparator" w:id="0">
    <w:p w14:paraId="49C8EAC4" w14:textId="77777777" w:rsidR="006A68D2" w:rsidRDefault="006A68D2" w:rsidP="006A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6CDF" w14:textId="77777777" w:rsidR="00683BBC" w:rsidRDefault="00683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9DA1" w14:textId="77777777" w:rsidR="00683BBC" w:rsidRDefault="00683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34A1" w14:textId="77777777" w:rsidR="006A68D2" w:rsidRDefault="006A68D2" w:rsidP="00E272DC">
    <w:pPr>
      <w:pStyle w:val="Header"/>
      <w:jc w:val="center"/>
    </w:pPr>
    <w:r>
      <w:rPr>
        <w:noProof/>
      </w:rPr>
      <w:drawing>
        <wp:inline distT="0" distB="0" distL="0" distR="0" wp14:anchorId="32232319" wp14:editId="0906395F">
          <wp:extent cx="3324225" cy="82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346" cy="840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C0239D5"/>
    <w:multiLevelType w:val="hybridMultilevel"/>
    <w:tmpl w:val="FC282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2B1349"/>
    <w:multiLevelType w:val="hybridMultilevel"/>
    <w:tmpl w:val="C9BA8C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B7F500A"/>
    <w:multiLevelType w:val="hybridMultilevel"/>
    <w:tmpl w:val="ED6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3163451">
    <w:abstractNumId w:val="21"/>
  </w:num>
  <w:num w:numId="2" w16cid:durableId="319118131">
    <w:abstractNumId w:val="12"/>
  </w:num>
  <w:num w:numId="3" w16cid:durableId="963735186">
    <w:abstractNumId w:val="10"/>
  </w:num>
  <w:num w:numId="4" w16cid:durableId="1980840204">
    <w:abstractNumId w:val="24"/>
  </w:num>
  <w:num w:numId="5" w16cid:durableId="1001549180">
    <w:abstractNumId w:val="13"/>
  </w:num>
  <w:num w:numId="6" w16cid:durableId="1447849968">
    <w:abstractNumId w:val="16"/>
  </w:num>
  <w:num w:numId="7" w16cid:durableId="958729505">
    <w:abstractNumId w:val="18"/>
  </w:num>
  <w:num w:numId="8" w16cid:durableId="309095390">
    <w:abstractNumId w:val="9"/>
  </w:num>
  <w:num w:numId="9" w16cid:durableId="1558661477">
    <w:abstractNumId w:val="7"/>
  </w:num>
  <w:num w:numId="10" w16cid:durableId="264190230">
    <w:abstractNumId w:val="6"/>
  </w:num>
  <w:num w:numId="11" w16cid:durableId="268508792">
    <w:abstractNumId w:val="5"/>
  </w:num>
  <w:num w:numId="12" w16cid:durableId="1951157607">
    <w:abstractNumId w:val="4"/>
  </w:num>
  <w:num w:numId="13" w16cid:durableId="312872983">
    <w:abstractNumId w:val="8"/>
  </w:num>
  <w:num w:numId="14" w16cid:durableId="634990913">
    <w:abstractNumId w:val="3"/>
  </w:num>
  <w:num w:numId="15" w16cid:durableId="604384239">
    <w:abstractNumId w:val="2"/>
  </w:num>
  <w:num w:numId="16" w16cid:durableId="1414083095">
    <w:abstractNumId w:val="1"/>
  </w:num>
  <w:num w:numId="17" w16cid:durableId="899442927">
    <w:abstractNumId w:val="0"/>
  </w:num>
  <w:num w:numId="18" w16cid:durableId="980504488">
    <w:abstractNumId w:val="14"/>
  </w:num>
  <w:num w:numId="19" w16cid:durableId="953099046">
    <w:abstractNumId w:val="15"/>
  </w:num>
  <w:num w:numId="20" w16cid:durableId="1313868315">
    <w:abstractNumId w:val="23"/>
  </w:num>
  <w:num w:numId="21" w16cid:durableId="1145009009">
    <w:abstractNumId w:val="17"/>
  </w:num>
  <w:num w:numId="22" w16cid:durableId="302002267">
    <w:abstractNumId w:val="11"/>
  </w:num>
  <w:num w:numId="23" w16cid:durableId="1928463051">
    <w:abstractNumId w:val="25"/>
  </w:num>
  <w:num w:numId="24" w16cid:durableId="879050089">
    <w:abstractNumId w:val="20"/>
  </w:num>
  <w:num w:numId="25" w16cid:durableId="50925016">
    <w:abstractNumId w:val="22"/>
  </w:num>
  <w:num w:numId="26" w16cid:durableId="2111388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D2"/>
    <w:rsid w:val="00011956"/>
    <w:rsid w:val="00221F5A"/>
    <w:rsid w:val="0028248A"/>
    <w:rsid w:val="002F57D4"/>
    <w:rsid w:val="004618C3"/>
    <w:rsid w:val="004F3FF4"/>
    <w:rsid w:val="00610CFA"/>
    <w:rsid w:val="00641A03"/>
    <w:rsid w:val="00645252"/>
    <w:rsid w:val="00646ED5"/>
    <w:rsid w:val="00683BBC"/>
    <w:rsid w:val="006A68D2"/>
    <w:rsid w:val="006D24BF"/>
    <w:rsid w:val="006D3D74"/>
    <w:rsid w:val="00783B35"/>
    <w:rsid w:val="007919A9"/>
    <w:rsid w:val="0083569A"/>
    <w:rsid w:val="00866ADC"/>
    <w:rsid w:val="009033C1"/>
    <w:rsid w:val="00905B29"/>
    <w:rsid w:val="00A711BC"/>
    <w:rsid w:val="00A9204E"/>
    <w:rsid w:val="00B0297B"/>
    <w:rsid w:val="00B56E2F"/>
    <w:rsid w:val="00C740FB"/>
    <w:rsid w:val="00D56824"/>
    <w:rsid w:val="00E272DC"/>
    <w:rsid w:val="00E907B0"/>
    <w:rsid w:val="00E931DF"/>
    <w:rsid w:val="00EE2075"/>
    <w:rsid w:val="00F573FB"/>
    <w:rsid w:val="00F918B2"/>
    <w:rsid w:val="00F929D1"/>
    <w:rsid w:val="00FB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140815"/>
  <w15:chartTrackingRefBased/>
  <w15:docId w15:val="{9D2C4D3C-E332-4FC5-A1AB-B682D7F6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D2"/>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6A68D2"/>
    <w:pPr>
      <w:spacing w:before="100" w:after="200" w:line="276" w:lineRule="auto"/>
      <w:ind w:left="720"/>
      <w:contextualSpacing/>
    </w:pPr>
    <w:rPr>
      <w:rFonts w:eastAsiaTheme="minorEastAsia"/>
      <w:sz w:val="20"/>
      <w:szCs w:val="20"/>
    </w:rPr>
  </w:style>
  <w:style w:type="character" w:styleId="UnresolvedMention">
    <w:name w:val="Unresolved Mention"/>
    <w:basedOn w:val="DefaultParagraphFont"/>
    <w:uiPriority w:val="99"/>
    <w:semiHidden/>
    <w:unhideWhenUsed/>
    <w:rsid w:val="00F929D1"/>
    <w:rPr>
      <w:color w:val="605E5C"/>
      <w:shd w:val="clear" w:color="auto" w:fill="E1DFDD"/>
    </w:rPr>
  </w:style>
  <w:style w:type="paragraph" w:customStyle="1" w:styleId="sub4">
    <w:name w:val="sub4"/>
    <w:basedOn w:val="Normal"/>
    <w:rsid w:val="00F929D1"/>
    <w:pPr>
      <w:spacing w:before="100" w:beforeAutospacing="1" w:after="100" w:afterAutospacing="1"/>
    </w:pPr>
    <w:rPr>
      <w:rFonts w:ascii="Times New Roman" w:eastAsia="Times New Roman" w:hAnsi="Times New Roman" w:cs="Times New Roman"/>
      <w:sz w:val="24"/>
      <w:szCs w:val="24"/>
    </w:rPr>
  </w:style>
  <w:style w:type="paragraph" w:customStyle="1" w:styleId="textvalue">
    <w:name w:val="textvalue"/>
    <w:basedOn w:val="Normal"/>
    <w:rsid w:val="00F929D1"/>
    <w:pPr>
      <w:spacing w:before="100" w:beforeAutospacing="1" w:after="100" w:afterAutospacing="1"/>
    </w:pPr>
    <w:rPr>
      <w:rFonts w:ascii="Times New Roman" w:eastAsia="Times New Roman" w:hAnsi="Times New Roman" w:cs="Times New Roman"/>
      <w:sz w:val="24"/>
      <w:szCs w:val="24"/>
    </w:rPr>
  </w:style>
  <w:style w:type="character" w:customStyle="1" w:styleId="datavalue">
    <w:name w:val="datavalue"/>
    <w:basedOn w:val="DefaultParagraphFont"/>
    <w:rsid w:val="00F9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6085">
      <w:bodyDiv w:val="1"/>
      <w:marLeft w:val="0"/>
      <w:marRight w:val="0"/>
      <w:marTop w:val="0"/>
      <w:marBottom w:val="0"/>
      <w:divBdr>
        <w:top w:val="none" w:sz="0" w:space="0" w:color="auto"/>
        <w:left w:val="none" w:sz="0" w:space="0" w:color="auto"/>
        <w:bottom w:val="none" w:sz="0" w:space="0" w:color="auto"/>
        <w:right w:val="none" w:sz="0" w:space="0" w:color="auto"/>
      </w:divBdr>
    </w:div>
    <w:div w:id="8390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web/osh/table-1-industry-rates-national.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lu.edu/safety/committ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u.edu/safety/committe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lu.edu/safety/wp-content/uploads/sites/133/2022/04/safety-comm.-membership-roster-21-22.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densj\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Liden, Sue J</dc:creator>
  <cp:keywords/>
  <dc:description/>
  <cp:lastModifiedBy>Fulkerson, James P</cp:lastModifiedBy>
  <cp:revision>3</cp:revision>
  <cp:lastPrinted>2025-12-08T22:00:00Z</cp:lastPrinted>
  <dcterms:created xsi:type="dcterms:W3CDTF">2025-12-08T22:08:00Z</dcterms:created>
  <dcterms:modified xsi:type="dcterms:W3CDTF">2025-12-08T22:09:00Z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