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79" w:rsidRDefault="00B45C79">
      <w:pPr>
        <w:rPr>
          <w:b/>
          <w:sz w:val="24"/>
          <w:u w:val="single"/>
        </w:rPr>
      </w:pPr>
      <w:r>
        <w:rPr>
          <w:b/>
          <w:sz w:val="24"/>
          <w:u w:val="single"/>
        </w:rPr>
        <w:t>Introduction</w:t>
      </w:r>
    </w:p>
    <w:p w:rsidR="00B45C79" w:rsidRDefault="00B45C79">
      <w:pPr>
        <w:pStyle w:val="BodyText3"/>
      </w:pPr>
      <w:r>
        <w:t xml:space="preserve">It’s inevitable that in any working and learning environment, conflict will arise.  To assist in resolving differences, PLU has procedures in place to deal with conflict in appropriate ways.  The University also has established a Dispute Resolution Committee (previously known as the University Grievance Committee) whose members provide mediation services and help people in the campus community improve their conflict resolution skills.  PLU strongly encourages informal problem resolution whenever possible. </w:t>
      </w:r>
    </w:p>
    <w:p w:rsidR="00B45C79" w:rsidRDefault="00B45C79">
      <w:pPr>
        <w:rPr>
          <w:b/>
          <w:sz w:val="24"/>
          <w:u w:val="single"/>
        </w:rPr>
      </w:pPr>
    </w:p>
    <w:p w:rsidR="00B45C79" w:rsidRDefault="00B45C79">
      <w:pPr>
        <w:rPr>
          <w:b/>
          <w:sz w:val="24"/>
          <w:u w:val="single"/>
        </w:rPr>
      </w:pPr>
      <w:r>
        <w:rPr>
          <w:b/>
          <w:sz w:val="24"/>
          <w:u w:val="single"/>
        </w:rPr>
        <w:t>Informal Resolution</w:t>
      </w:r>
    </w:p>
    <w:p w:rsidR="00B45C79" w:rsidRDefault="00B45C79">
      <w:pPr>
        <w:jc w:val="both"/>
        <w:rPr>
          <w:sz w:val="24"/>
        </w:rPr>
      </w:pPr>
      <w:r>
        <w:rPr>
          <w:sz w:val="24"/>
        </w:rPr>
        <w:t xml:space="preserve">Students and members of the faculty and staff who have concerns or who have been sexually harassed are encouraged to contact </w:t>
      </w:r>
      <w:r>
        <w:rPr>
          <w:b/>
          <w:sz w:val="24"/>
        </w:rPr>
        <w:t>any</w:t>
      </w:r>
      <w:r>
        <w:rPr>
          <w:sz w:val="24"/>
        </w:rPr>
        <w:t xml:space="preserve"> of the four sources noted below to seek resolution to their concerns.  Any matter involving potential violations of the University’s policy on discrimination, sexual harassment or sexual misconduct must be forwarded to the Dispute Resolution Committee as soon as possible.</w:t>
      </w:r>
    </w:p>
    <w:p w:rsidR="00B45C79" w:rsidRDefault="00B45C79">
      <w:pPr>
        <w:rPr>
          <w:sz w:val="24"/>
        </w:rPr>
      </w:pPr>
    </w:p>
    <w:p w:rsidR="00B45C79" w:rsidRDefault="00B45C79">
      <w:pPr>
        <w:jc w:val="center"/>
        <w:rPr>
          <w:b/>
          <w:sz w:val="24"/>
        </w:rPr>
      </w:pPr>
      <w:r>
        <w:rPr>
          <w:b/>
          <w:sz w:val="24"/>
        </w:rPr>
        <w:t>Complainant (person with concern)</w:t>
      </w:r>
    </w:p>
    <w:p w:rsidR="00B45C79" w:rsidRDefault="00A64F17">
      <w:pPr>
        <w:rPr>
          <w:sz w:val="24"/>
        </w:rPr>
      </w:pPr>
      <w:r>
        <w:rPr>
          <w:noProof/>
          <w:sz w:val="24"/>
        </w:rPr>
        <mc:AlternateContent>
          <mc:Choice Requires="wps">
            <w:drawing>
              <wp:anchor distT="0" distB="0" distL="114300" distR="114300" simplePos="0" relativeHeight="251659264" behindDoc="0" locked="0" layoutInCell="0" allowOverlap="1">
                <wp:simplePos x="0" y="0"/>
                <wp:positionH relativeFrom="column">
                  <wp:posOffset>2926080</wp:posOffset>
                </wp:positionH>
                <wp:positionV relativeFrom="paragraph">
                  <wp:posOffset>61595</wp:posOffset>
                </wp:positionV>
                <wp:extent cx="2012315" cy="64071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407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3C369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4.85pt" to="388.8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" o:allowincell="f">
                <v:stroke startarrowwidth="narrow" startarrowlength="short" endarrow="block" endarrowwidth="narrow" endarrowlength="short"/>
              </v:line>
            </w:pict>
          </mc:Fallback>
        </mc:AlternateContent>
      </w:r>
      <w:r>
        <w:rPr>
          <w:noProof/>
          <w:sz w:val="24"/>
        </w:rPr>
        <mc:AlternateContent>
          <mc:Choice Requires="wps">
            <w:drawing>
              <wp:anchor distT="0" distB="0" distL="114300" distR="114300" simplePos="0" relativeHeight="251658240" behindDoc="0" locked="0" layoutInCell="0" allowOverlap="1">
                <wp:simplePos x="0" y="0"/>
                <wp:positionH relativeFrom="column">
                  <wp:posOffset>2926080</wp:posOffset>
                </wp:positionH>
                <wp:positionV relativeFrom="paragraph">
                  <wp:posOffset>61595</wp:posOffset>
                </wp:positionV>
                <wp:extent cx="366395" cy="64071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407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9BB2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4.85pt" to="259.2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" o:allowincell="f">
                <v:stroke startarrowwidth="narrow" startarrowlength="short" endarrow="block" endarrowwidth="narrow" endarrowlength="short"/>
              </v:line>
            </w:pict>
          </mc:Fallback>
        </mc:AlternateContent>
      </w:r>
      <w:r>
        <w:rPr>
          <w:noProof/>
          <w:sz w:val="24"/>
        </w:rPr>
        <mc:AlternateContent>
          <mc:Choice Requires="wps">
            <w:drawing>
              <wp:anchor distT="0" distB="0" distL="114300" distR="114300" simplePos="0" relativeHeight="251657216" behindDoc="0" locked="0" layoutInCell="0" allowOverlap="1">
                <wp:simplePos x="0" y="0"/>
                <wp:positionH relativeFrom="column">
                  <wp:posOffset>2011680</wp:posOffset>
                </wp:positionH>
                <wp:positionV relativeFrom="paragraph">
                  <wp:posOffset>61595</wp:posOffset>
                </wp:positionV>
                <wp:extent cx="915035" cy="64071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6407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23F17"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4.85pt" to="230.4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" o:allowincell="f">
                <v:stroke startarrowwidth="narrow" startarrowlength="short" endarrow="block" endarrowwidth="narrow" endarrowlength="short"/>
              </v:line>
            </w:pict>
          </mc:Fallback>
        </mc:AlternateContent>
      </w:r>
      <w:r>
        <w:rPr>
          <w:noProof/>
          <w:sz w:val="24"/>
        </w:rPr>
        <mc:AlternateContent>
          <mc:Choice Requires="wps">
            <w:drawing>
              <wp:anchor distT="0" distB="0" distL="114300" distR="114300" simplePos="0" relativeHeight="251656192" behindDoc="0" locked="0" layoutInCell="0" allowOverlap="1">
                <wp:simplePos x="0" y="0"/>
                <wp:positionH relativeFrom="column">
                  <wp:posOffset>640080</wp:posOffset>
                </wp:positionH>
                <wp:positionV relativeFrom="paragraph">
                  <wp:posOffset>61595</wp:posOffset>
                </wp:positionV>
                <wp:extent cx="2286635" cy="64071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6407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6367A9"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4.85pt" to="230.4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" o:allowincell="f">
                <v:stroke startarrowwidth="narrow" startarrowlength="short" endarrow="block" endarrowwidth="narrow" endarrowlength="short"/>
              </v:line>
            </w:pict>
          </mc:Fallback>
        </mc:AlternateContent>
      </w:r>
    </w:p>
    <w:p w:rsidR="00B45C79" w:rsidRDefault="00B45C79">
      <w:pPr>
        <w:rPr>
          <w:sz w:val="24"/>
        </w:rPr>
      </w:pPr>
    </w:p>
    <w:p w:rsidR="00B45C79" w:rsidRDefault="00B45C79">
      <w:pPr>
        <w:rPr>
          <w:sz w:val="24"/>
        </w:rPr>
      </w:pPr>
    </w:p>
    <w:p w:rsidR="00B45C79" w:rsidRDefault="00B45C79">
      <w:pPr>
        <w:rPr>
          <w:sz w:val="24"/>
        </w:rPr>
      </w:pPr>
    </w:p>
    <w:p w:rsidR="00B45C79" w:rsidRDefault="00B45C79">
      <w:pPr>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8"/>
        <w:gridCol w:w="2160"/>
        <w:gridCol w:w="2790"/>
        <w:gridCol w:w="2520"/>
      </w:tblGrid>
      <w:tr w:rsidR="00B45C79">
        <w:tblPrEx>
          <w:tblCellMar>
            <w:top w:w="0" w:type="dxa"/>
            <w:bottom w:w="0" w:type="dxa"/>
          </w:tblCellMar>
        </w:tblPrEx>
        <w:tc>
          <w:tcPr>
            <w:tcW w:w="2088" w:type="dxa"/>
          </w:tcPr>
          <w:p w:rsidR="00B45C79" w:rsidRDefault="00B45C79">
            <w:pPr>
              <w:jc w:val="center"/>
              <w:rPr>
                <w:sz w:val="24"/>
              </w:rPr>
            </w:pPr>
          </w:p>
          <w:p w:rsidR="00B45C79" w:rsidRDefault="00B45C79">
            <w:pPr>
              <w:jc w:val="center"/>
              <w:rPr>
                <w:sz w:val="24"/>
              </w:rPr>
            </w:pPr>
            <w:r>
              <w:rPr>
                <w:sz w:val="24"/>
              </w:rPr>
              <w:t>Respondent</w:t>
            </w:r>
          </w:p>
          <w:p w:rsidR="00B45C79" w:rsidRDefault="00B45C79">
            <w:pPr>
              <w:rPr>
                <w:sz w:val="24"/>
              </w:rPr>
            </w:pPr>
          </w:p>
        </w:tc>
        <w:tc>
          <w:tcPr>
            <w:tcW w:w="2160" w:type="dxa"/>
          </w:tcPr>
          <w:p w:rsidR="00B45C79" w:rsidRDefault="00B45C79">
            <w:pPr>
              <w:jc w:val="center"/>
              <w:rPr>
                <w:sz w:val="24"/>
              </w:rPr>
            </w:pPr>
          </w:p>
          <w:p w:rsidR="00B45C79" w:rsidRDefault="00B45C79">
            <w:pPr>
              <w:jc w:val="center"/>
              <w:rPr>
                <w:sz w:val="24"/>
              </w:rPr>
            </w:pPr>
            <w:r>
              <w:rPr>
                <w:sz w:val="24"/>
              </w:rPr>
              <w:t>Immediate Supervisor or Department Head</w:t>
            </w:r>
          </w:p>
          <w:p w:rsidR="00B45C79" w:rsidRDefault="00B45C79">
            <w:pPr>
              <w:jc w:val="center"/>
              <w:rPr>
                <w:sz w:val="24"/>
              </w:rPr>
            </w:pPr>
          </w:p>
        </w:tc>
        <w:tc>
          <w:tcPr>
            <w:tcW w:w="2790" w:type="dxa"/>
          </w:tcPr>
          <w:p w:rsidR="00B45C79" w:rsidRDefault="00B45C79">
            <w:pPr>
              <w:jc w:val="center"/>
              <w:rPr>
                <w:sz w:val="24"/>
              </w:rPr>
            </w:pPr>
          </w:p>
          <w:p w:rsidR="00B45C79" w:rsidRDefault="00B45C79">
            <w:pPr>
              <w:jc w:val="center"/>
              <w:rPr>
                <w:sz w:val="24"/>
              </w:rPr>
            </w:pPr>
            <w:r>
              <w:rPr>
                <w:sz w:val="24"/>
              </w:rPr>
              <w:t xml:space="preserve">Next higher administrative level above Immediate Supervisor or </w:t>
            </w:r>
          </w:p>
          <w:p w:rsidR="00B45C79" w:rsidRDefault="00B45C79">
            <w:pPr>
              <w:jc w:val="center"/>
              <w:rPr>
                <w:sz w:val="24"/>
              </w:rPr>
            </w:pPr>
            <w:r>
              <w:rPr>
                <w:sz w:val="24"/>
              </w:rPr>
              <w:t>Department Head</w:t>
            </w:r>
          </w:p>
          <w:p w:rsidR="00B45C79" w:rsidRDefault="00B45C79">
            <w:pPr>
              <w:jc w:val="center"/>
              <w:rPr>
                <w:sz w:val="24"/>
              </w:rPr>
            </w:pPr>
          </w:p>
        </w:tc>
        <w:tc>
          <w:tcPr>
            <w:tcW w:w="2520" w:type="dxa"/>
          </w:tcPr>
          <w:p w:rsidR="00B45C79" w:rsidRDefault="00B45C79">
            <w:pPr>
              <w:jc w:val="center"/>
              <w:rPr>
                <w:sz w:val="24"/>
              </w:rPr>
            </w:pPr>
          </w:p>
          <w:p w:rsidR="00B45C79" w:rsidRDefault="00B45C79">
            <w:pPr>
              <w:jc w:val="center"/>
              <w:rPr>
                <w:sz w:val="24"/>
              </w:rPr>
            </w:pPr>
            <w:r>
              <w:rPr>
                <w:sz w:val="24"/>
              </w:rPr>
              <w:t>Dispute Resolution Committee</w:t>
            </w:r>
          </w:p>
        </w:tc>
      </w:tr>
    </w:tbl>
    <w:p w:rsidR="00B45C79" w:rsidRDefault="00B45C79">
      <w:pPr>
        <w:rPr>
          <w:b/>
          <w:i/>
          <w:sz w:val="24"/>
        </w:rPr>
      </w:pPr>
    </w:p>
    <w:p w:rsidR="00B45C79" w:rsidRDefault="00B45C79">
      <w:pPr>
        <w:rPr>
          <w:b/>
          <w:sz w:val="24"/>
          <w:u w:val="single"/>
        </w:rPr>
      </w:pPr>
      <w:r>
        <w:rPr>
          <w:b/>
          <w:sz w:val="24"/>
          <w:u w:val="single"/>
        </w:rPr>
        <w:t>Formal Resolution</w:t>
      </w:r>
    </w:p>
    <w:p w:rsidR="00B45C79" w:rsidRDefault="00B45C79">
      <w:pPr>
        <w:jc w:val="both"/>
        <w:rPr>
          <w:sz w:val="24"/>
        </w:rPr>
      </w:pPr>
      <w:r>
        <w:rPr>
          <w:sz w:val="24"/>
        </w:rPr>
        <w:t xml:space="preserve">If a complainant is not satisfied with the results of efforts to informally resolve his/her concern, </w:t>
      </w:r>
    </w:p>
    <w:p w:rsidR="00B45C79" w:rsidRDefault="00B45C79">
      <w:pPr>
        <w:jc w:val="both"/>
        <w:rPr>
          <w:sz w:val="24"/>
        </w:rPr>
      </w:pPr>
      <w:r>
        <w:rPr>
          <w:sz w:val="24"/>
        </w:rPr>
        <w:t>a written complaint may be filed with the Dispute Resolution Committee.  In response to a formal written complaint, the following steps will be taken in accordance with the University’s policy statement.</w:t>
      </w:r>
    </w:p>
    <w:p w:rsidR="00B45C79" w:rsidRDefault="00B45C79">
      <w:pPr>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38"/>
        <w:gridCol w:w="3438"/>
      </w:tblGrid>
      <w:tr w:rsidR="00B45C79">
        <w:tblPrEx>
          <w:tblCellMar>
            <w:top w:w="0" w:type="dxa"/>
            <w:bottom w:w="0" w:type="dxa"/>
          </w:tblCellMar>
        </w:tblPrEx>
        <w:tc>
          <w:tcPr>
            <w:tcW w:w="6138" w:type="dxa"/>
            <w:tcBorders>
              <w:top w:val="single" w:sz="12" w:space="0" w:color="auto"/>
              <w:bottom w:val="single" w:sz="6" w:space="0" w:color="auto"/>
            </w:tcBorders>
            <w:shd w:val="pct5" w:color="auto" w:fill="auto"/>
          </w:tcPr>
          <w:p w:rsidR="00B45C79" w:rsidRDefault="00B45C79">
            <w:pPr>
              <w:jc w:val="center"/>
              <w:rPr>
                <w:b/>
                <w:sz w:val="24"/>
              </w:rPr>
            </w:pPr>
            <w:r>
              <w:rPr>
                <w:b/>
                <w:sz w:val="24"/>
              </w:rPr>
              <w:t>Action</w:t>
            </w:r>
          </w:p>
        </w:tc>
        <w:tc>
          <w:tcPr>
            <w:tcW w:w="3438" w:type="dxa"/>
            <w:tcBorders>
              <w:top w:val="single" w:sz="12" w:space="0" w:color="auto"/>
              <w:bottom w:val="single" w:sz="6" w:space="0" w:color="auto"/>
            </w:tcBorders>
            <w:shd w:val="pct5" w:color="auto" w:fill="auto"/>
          </w:tcPr>
          <w:p w:rsidR="00B45C79" w:rsidRDefault="00B45C79">
            <w:pPr>
              <w:jc w:val="center"/>
              <w:rPr>
                <w:b/>
                <w:sz w:val="24"/>
              </w:rPr>
            </w:pPr>
            <w:r>
              <w:rPr>
                <w:b/>
                <w:sz w:val="24"/>
              </w:rPr>
              <w:t>Maximum Timeframe</w:t>
            </w:r>
          </w:p>
        </w:tc>
      </w:tr>
      <w:tr w:rsidR="00B45C79">
        <w:tblPrEx>
          <w:tblCellMar>
            <w:top w:w="0" w:type="dxa"/>
            <w:bottom w:w="0" w:type="dxa"/>
          </w:tblCellMar>
        </w:tblPrEx>
        <w:tc>
          <w:tcPr>
            <w:tcW w:w="6138" w:type="dxa"/>
            <w:tcBorders>
              <w:top w:val="nil"/>
            </w:tcBorders>
          </w:tcPr>
          <w:p w:rsidR="00B45C79" w:rsidRDefault="00B45C79">
            <w:pPr>
              <w:rPr>
                <w:b/>
                <w:sz w:val="24"/>
              </w:rPr>
            </w:pPr>
            <w:r>
              <w:rPr>
                <w:b/>
                <w:sz w:val="24"/>
              </w:rPr>
              <w:t>1.  Filing the Written Grievance</w:t>
            </w:r>
          </w:p>
          <w:p w:rsidR="00B45C79" w:rsidRDefault="00B45C79">
            <w:pPr>
              <w:rPr>
                <w:sz w:val="24"/>
              </w:rPr>
            </w:pPr>
            <w:r>
              <w:rPr>
                <w:sz w:val="24"/>
              </w:rPr>
              <w:t>Grievant files written complaint --</w:t>
            </w:r>
          </w:p>
          <w:p w:rsidR="00B45C79" w:rsidRDefault="00B45C79">
            <w:pPr>
              <w:numPr>
                <w:ilvl w:val="0"/>
                <w:numId w:val="1"/>
              </w:numPr>
              <w:rPr>
                <w:sz w:val="24"/>
              </w:rPr>
            </w:pPr>
            <w:r>
              <w:rPr>
                <w:sz w:val="24"/>
              </w:rPr>
              <w:t>If not satisfied with informal resolution</w:t>
            </w:r>
          </w:p>
          <w:p w:rsidR="00B45C79" w:rsidRDefault="00B45C79">
            <w:pPr>
              <w:rPr>
                <w:sz w:val="24"/>
              </w:rPr>
            </w:pPr>
          </w:p>
          <w:p w:rsidR="00B45C79" w:rsidRDefault="00B45C79">
            <w:pPr>
              <w:numPr>
                <w:ilvl w:val="0"/>
                <w:numId w:val="3"/>
              </w:numPr>
              <w:rPr>
                <w:sz w:val="24"/>
              </w:rPr>
            </w:pPr>
            <w:r>
              <w:rPr>
                <w:sz w:val="24"/>
              </w:rPr>
              <w:t>If no informal resolution was sought</w:t>
            </w:r>
          </w:p>
        </w:tc>
        <w:tc>
          <w:tcPr>
            <w:tcW w:w="3438" w:type="dxa"/>
            <w:tcBorders>
              <w:top w:val="nil"/>
            </w:tcBorders>
          </w:tcPr>
          <w:p w:rsidR="00B45C79" w:rsidRDefault="00B45C79">
            <w:pPr>
              <w:rPr>
                <w:sz w:val="24"/>
              </w:rPr>
            </w:pPr>
          </w:p>
          <w:p w:rsidR="00B45C79" w:rsidRDefault="00B45C79">
            <w:pPr>
              <w:rPr>
                <w:sz w:val="24"/>
              </w:rPr>
            </w:pPr>
          </w:p>
          <w:p w:rsidR="00B45C79" w:rsidRDefault="00B45C79">
            <w:pPr>
              <w:numPr>
                <w:ilvl w:val="0"/>
                <w:numId w:val="1"/>
              </w:numPr>
              <w:rPr>
                <w:sz w:val="24"/>
              </w:rPr>
            </w:pPr>
            <w:r>
              <w:rPr>
                <w:sz w:val="24"/>
              </w:rPr>
              <w:t>5 working days after informal process ends</w:t>
            </w:r>
          </w:p>
          <w:p w:rsidR="00B45C79" w:rsidRDefault="00B45C79">
            <w:pPr>
              <w:numPr>
                <w:ilvl w:val="0"/>
                <w:numId w:val="4"/>
              </w:numPr>
              <w:rPr>
                <w:sz w:val="24"/>
              </w:rPr>
            </w:pPr>
            <w:r>
              <w:rPr>
                <w:sz w:val="24"/>
              </w:rPr>
              <w:t>30 working days after alleged incident</w:t>
            </w:r>
          </w:p>
        </w:tc>
      </w:tr>
      <w:tr w:rsidR="00B45C79">
        <w:tblPrEx>
          <w:tblCellMar>
            <w:top w:w="0" w:type="dxa"/>
            <w:bottom w:w="0" w:type="dxa"/>
          </w:tblCellMar>
        </w:tblPrEx>
        <w:tc>
          <w:tcPr>
            <w:tcW w:w="6138" w:type="dxa"/>
          </w:tcPr>
          <w:p w:rsidR="00B45C79" w:rsidRDefault="00B45C79">
            <w:pPr>
              <w:pStyle w:val="BodyText"/>
            </w:pPr>
            <w:r>
              <w:t>2.  Determination of Whether Grievance is Subject to Procedures</w:t>
            </w:r>
          </w:p>
          <w:p w:rsidR="00B45C79" w:rsidRDefault="00B45C79">
            <w:pPr>
              <w:rPr>
                <w:sz w:val="24"/>
              </w:rPr>
            </w:pPr>
            <w:r>
              <w:rPr>
                <w:sz w:val="24"/>
              </w:rPr>
              <w:t xml:space="preserve">Dispute Resolution Committee determines if complaint falls within the purview of grievance procedures.  </w:t>
            </w:r>
          </w:p>
        </w:tc>
        <w:tc>
          <w:tcPr>
            <w:tcW w:w="3438" w:type="dxa"/>
          </w:tcPr>
          <w:p w:rsidR="00B45C79" w:rsidRDefault="00B45C79">
            <w:pPr>
              <w:jc w:val="center"/>
              <w:rPr>
                <w:sz w:val="24"/>
              </w:rPr>
            </w:pPr>
          </w:p>
          <w:p w:rsidR="00B45C79" w:rsidRDefault="00B45C79">
            <w:pPr>
              <w:jc w:val="center"/>
              <w:rPr>
                <w:sz w:val="24"/>
              </w:rPr>
            </w:pPr>
          </w:p>
          <w:p w:rsidR="00B45C79" w:rsidRDefault="00B45C79">
            <w:pPr>
              <w:jc w:val="center"/>
              <w:rPr>
                <w:sz w:val="24"/>
              </w:rPr>
            </w:pPr>
            <w:r>
              <w:rPr>
                <w:sz w:val="24"/>
              </w:rPr>
              <w:t>5 working days</w:t>
            </w:r>
          </w:p>
        </w:tc>
      </w:tr>
    </w:tbl>
    <w:p w:rsidR="00B45C79" w:rsidRDefault="00B45C79"/>
    <w:p w:rsidR="00B45C79" w:rsidRDefault="00B45C7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8"/>
        <w:gridCol w:w="3258"/>
      </w:tblGrid>
      <w:tr w:rsidR="00B45C79">
        <w:tblPrEx>
          <w:tblCellMar>
            <w:top w:w="0" w:type="dxa"/>
            <w:bottom w:w="0" w:type="dxa"/>
          </w:tblCellMar>
        </w:tblPrEx>
        <w:tc>
          <w:tcPr>
            <w:tcW w:w="6318" w:type="dxa"/>
          </w:tcPr>
          <w:p w:rsidR="00B45C79" w:rsidRDefault="00B45C79">
            <w:pPr>
              <w:rPr>
                <w:b/>
                <w:sz w:val="24"/>
              </w:rPr>
            </w:pPr>
            <w:r>
              <w:rPr>
                <w:b/>
                <w:sz w:val="24"/>
              </w:rPr>
              <w:t>3.  Notification to Respondent</w:t>
            </w:r>
          </w:p>
          <w:p w:rsidR="00B45C79" w:rsidRDefault="00B45C79">
            <w:pPr>
              <w:rPr>
                <w:sz w:val="24"/>
              </w:rPr>
            </w:pPr>
            <w:r>
              <w:rPr>
                <w:sz w:val="24"/>
              </w:rPr>
              <w:t>Dispute Resolution Committee gives copy of complaint to respondent with grievance procedures.</w:t>
            </w:r>
          </w:p>
        </w:tc>
        <w:tc>
          <w:tcPr>
            <w:tcW w:w="3258" w:type="dxa"/>
          </w:tcPr>
          <w:p w:rsidR="00B45C79" w:rsidRDefault="00B45C79">
            <w:pPr>
              <w:jc w:val="center"/>
              <w:rPr>
                <w:sz w:val="24"/>
              </w:rPr>
            </w:pPr>
          </w:p>
          <w:p w:rsidR="00B45C79" w:rsidRDefault="00B45C79">
            <w:pPr>
              <w:jc w:val="center"/>
              <w:rPr>
                <w:sz w:val="24"/>
              </w:rPr>
            </w:pPr>
            <w:r>
              <w:rPr>
                <w:sz w:val="24"/>
              </w:rPr>
              <w:t>3 working days</w:t>
            </w:r>
          </w:p>
        </w:tc>
      </w:tr>
      <w:tr w:rsidR="00B45C79">
        <w:tblPrEx>
          <w:tblCellMar>
            <w:top w:w="0" w:type="dxa"/>
            <w:bottom w:w="0" w:type="dxa"/>
          </w:tblCellMar>
        </w:tblPrEx>
        <w:tc>
          <w:tcPr>
            <w:tcW w:w="6318" w:type="dxa"/>
          </w:tcPr>
          <w:p w:rsidR="00B45C79" w:rsidRDefault="00B45C79">
            <w:pPr>
              <w:rPr>
                <w:b/>
                <w:sz w:val="24"/>
              </w:rPr>
            </w:pPr>
            <w:r>
              <w:rPr>
                <w:b/>
                <w:sz w:val="24"/>
              </w:rPr>
              <w:t>4.  Written Response May Be Filed</w:t>
            </w:r>
          </w:p>
          <w:p w:rsidR="00B45C79" w:rsidRDefault="00B45C79">
            <w:pPr>
              <w:rPr>
                <w:sz w:val="24"/>
              </w:rPr>
            </w:pPr>
            <w:r>
              <w:rPr>
                <w:sz w:val="24"/>
              </w:rPr>
              <w:t>Respondent may file a written response to the allegations.</w:t>
            </w:r>
          </w:p>
        </w:tc>
        <w:tc>
          <w:tcPr>
            <w:tcW w:w="3258" w:type="dxa"/>
          </w:tcPr>
          <w:p w:rsidR="00B45C79" w:rsidRDefault="00B45C79">
            <w:pPr>
              <w:jc w:val="center"/>
              <w:rPr>
                <w:sz w:val="24"/>
              </w:rPr>
            </w:pPr>
          </w:p>
          <w:p w:rsidR="00B45C79" w:rsidRDefault="00B45C79">
            <w:pPr>
              <w:jc w:val="center"/>
              <w:rPr>
                <w:sz w:val="24"/>
              </w:rPr>
            </w:pPr>
            <w:r>
              <w:rPr>
                <w:sz w:val="24"/>
              </w:rPr>
              <w:t>5 working days</w:t>
            </w:r>
          </w:p>
        </w:tc>
      </w:tr>
      <w:tr w:rsidR="00B45C79">
        <w:tblPrEx>
          <w:tblCellMar>
            <w:top w:w="0" w:type="dxa"/>
            <w:bottom w:w="0" w:type="dxa"/>
          </w:tblCellMar>
        </w:tblPrEx>
        <w:tc>
          <w:tcPr>
            <w:tcW w:w="6318" w:type="dxa"/>
          </w:tcPr>
          <w:p w:rsidR="00B45C79" w:rsidRDefault="00B45C79">
            <w:pPr>
              <w:rPr>
                <w:b/>
                <w:sz w:val="24"/>
              </w:rPr>
            </w:pPr>
            <w:r>
              <w:rPr>
                <w:b/>
                <w:sz w:val="24"/>
              </w:rPr>
              <w:t>5.  Investigation of the Grievance</w:t>
            </w:r>
          </w:p>
          <w:p w:rsidR="00B45C79" w:rsidRDefault="00B45C79">
            <w:pPr>
              <w:rPr>
                <w:sz w:val="24"/>
              </w:rPr>
            </w:pPr>
            <w:r>
              <w:rPr>
                <w:sz w:val="24"/>
              </w:rPr>
              <w:t xml:space="preserve">Dispute Resolution Committee investigates complaint through personal interviews and review of related written documents.  </w:t>
            </w:r>
          </w:p>
        </w:tc>
        <w:tc>
          <w:tcPr>
            <w:tcW w:w="3258" w:type="dxa"/>
          </w:tcPr>
          <w:p w:rsidR="00B45C79" w:rsidRDefault="00B45C79">
            <w:pPr>
              <w:jc w:val="center"/>
              <w:rPr>
                <w:sz w:val="24"/>
              </w:rPr>
            </w:pPr>
          </w:p>
          <w:p w:rsidR="00B45C79" w:rsidRDefault="00B45C79">
            <w:pPr>
              <w:jc w:val="center"/>
              <w:rPr>
                <w:sz w:val="24"/>
              </w:rPr>
            </w:pPr>
            <w:r>
              <w:rPr>
                <w:sz w:val="24"/>
              </w:rPr>
              <w:t>15 working days</w:t>
            </w:r>
          </w:p>
        </w:tc>
      </w:tr>
      <w:tr w:rsidR="00B45C79">
        <w:tblPrEx>
          <w:tblCellMar>
            <w:top w:w="0" w:type="dxa"/>
            <w:bottom w:w="0" w:type="dxa"/>
          </w:tblCellMar>
        </w:tblPrEx>
        <w:tc>
          <w:tcPr>
            <w:tcW w:w="6318" w:type="dxa"/>
          </w:tcPr>
          <w:p w:rsidR="00B45C79" w:rsidRDefault="00B45C79">
            <w:pPr>
              <w:pStyle w:val="BodyText"/>
            </w:pPr>
            <w:r>
              <w:t>6.  Preliminary Report and Recommendations</w:t>
            </w:r>
          </w:p>
          <w:p w:rsidR="00B45C79" w:rsidRDefault="00B45C79">
            <w:pPr>
              <w:rPr>
                <w:sz w:val="24"/>
              </w:rPr>
            </w:pPr>
            <w:r>
              <w:rPr>
                <w:sz w:val="24"/>
              </w:rPr>
              <w:t>Dispute Resolution Committee writes a report of investigation and recommendations for resolution and distributes copies to grievant and respondent.</w:t>
            </w:r>
          </w:p>
        </w:tc>
        <w:tc>
          <w:tcPr>
            <w:tcW w:w="3258" w:type="dxa"/>
          </w:tcPr>
          <w:p w:rsidR="00B45C79" w:rsidRDefault="00B45C79">
            <w:pPr>
              <w:jc w:val="center"/>
              <w:rPr>
                <w:sz w:val="24"/>
              </w:rPr>
            </w:pPr>
          </w:p>
          <w:p w:rsidR="00B45C79" w:rsidRDefault="00B45C79">
            <w:pPr>
              <w:jc w:val="center"/>
              <w:rPr>
                <w:sz w:val="24"/>
              </w:rPr>
            </w:pPr>
            <w:r>
              <w:rPr>
                <w:sz w:val="24"/>
              </w:rPr>
              <w:t>7 working days</w:t>
            </w:r>
          </w:p>
        </w:tc>
      </w:tr>
      <w:tr w:rsidR="00B45C79">
        <w:tblPrEx>
          <w:tblCellMar>
            <w:top w:w="0" w:type="dxa"/>
            <w:bottom w:w="0" w:type="dxa"/>
          </w:tblCellMar>
        </w:tblPrEx>
        <w:tc>
          <w:tcPr>
            <w:tcW w:w="6318" w:type="dxa"/>
          </w:tcPr>
          <w:p w:rsidR="00B45C79" w:rsidRDefault="00B45C79">
            <w:pPr>
              <w:rPr>
                <w:b/>
                <w:sz w:val="24"/>
              </w:rPr>
            </w:pPr>
            <w:r>
              <w:rPr>
                <w:b/>
                <w:sz w:val="24"/>
              </w:rPr>
              <w:t>7.  Rebuttal Statements</w:t>
            </w:r>
          </w:p>
          <w:p w:rsidR="00B45C79" w:rsidRDefault="00B45C79">
            <w:pPr>
              <w:pStyle w:val="BodyText2"/>
            </w:pPr>
            <w:r>
              <w:t>Grievant and respondent may write rebuttal statements.</w:t>
            </w:r>
          </w:p>
        </w:tc>
        <w:tc>
          <w:tcPr>
            <w:tcW w:w="3258" w:type="dxa"/>
          </w:tcPr>
          <w:p w:rsidR="00B45C79" w:rsidRDefault="00B45C79">
            <w:pPr>
              <w:jc w:val="center"/>
              <w:rPr>
                <w:sz w:val="24"/>
              </w:rPr>
            </w:pPr>
          </w:p>
          <w:p w:rsidR="00B45C79" w:rsidRDefault="00B45C79">
            <w:pPr>
              <w:jc w:val="center"/>
              <w:rPr>
                <w:sz w:val="24"/>
              </w:rPr>
            </w:pPr>
            <w:r>
              <w:rPr>
                <w:sz w:val="24"/>
              </w:rPr>
              <w:t>5 working days</w:t>
            </w:r>
          </w:p>
        </w:tc>
      </w:tr>
      <w:tr w:rsidR="00B45C79">
        <w:tblPrEx>
          <w:tblCellMar>
            <w:top w:w="0" w:type="dxa"/>
            <w:bottom w:w="0" w:type="dxa"/>
          </w:tblCellMar>
        </w:tblPrEx>
        <w:tc>
          <w:tcPr>
            <w:tcW w:w="6318" w:type="dxa"/>
          </w:tcPr>
          <w:p w:rsidR="00B45C79" w:rsidRDefault="00B45C79">
            <w:pPr>
              <w:rPr>
                <w:b/>
                <w:sz w:val="24"/>
              </w:rPr>
            </w:pPr>
            <w:r>
              <w:rPr>
                <w:b/>
                <w:sz w:val="24"/>
              </w:rPr>
              <w:t>8.  Final Report and Recommendations</w:t>
            </w:r>
          </w:p>
          <w:p w:rsidR="00B45C79" w:rsidRDefault="00B45C79">
            <w:pPr>
              <w:rPr>
                <w:sz w:val="24"/>
              </w:rPr>
            </w:pPr>
            <w:r>
              <w:rPr>
                <w:sz w:val="24"/>
              </w:rPr>
              <w:t>Dispute Resolution Committee completes final report for distribution to grievant, respondent and appropriate supervisors.</w:t>
            </w:r>
          </w:p>
        </w:tc>
        <w:tc>
          <w:tcPr>
            <w:tcW w:w="3258" w:type="dxa"/>
          </w:tcPr>
          <w:p w:rsidR="00B45C79" w:rsidRDefault="00B45C79">
            <w:pPr>
              <w:jc w:val="center"/>
              <w:rPr>
                <w:sz w:val="24"/>
              </w:rPr>
            </w:pPr>
          </w:p>
          <w:p w:rsidR="00B45C79" w:rsidRDefault="00B45C79">
            <w:pPr>
              <w:jc w:val="center"/>
              <w:rPr>
                <w:sz w:val="24"/>
              </w:rPr>
            </w:pPr>
            <w:r>
              <w:rPr>
                <w:sz w:val="24"/>
              </w:rPr>
              <w:t>5 working days</w:t>
            </w:r>
          </w:p>
        </w:tc>
      </w:tr>
      <w:tr w:rsidR="00B45C79">
        <w:tblPrEx>
          <w:tblCellMar>
            <w:top w:w="0" w:type="dxa"/>
            <w:bottom w:w="0" w:type="dxa"/>
          </w:tblCellMar>
        </w:tblPrEx>
        <w:tc>
          <w:tcPr>
            <w:tcW w:w="6318" w:type="dxa"/>
          </w:tcPr>
          <w:p w:rsidR="00B45C79" w:rsidRDefault="00B45C79">
            <w:pPr>
              <w:pStyle w:val="BodyText2"/>
              <w:rPr>
                <w:b/>
              </w:rPr>
            </w:pPr>
            <w:r>
              <w:rPr>
                <w:b/>
              </w:rPr>
              <w:t>9.  Review by Appropriate Supervisors</w:t>
            </w:r>
          </w:p>
          <w:p w:rsidR="00B45C79" w:rsidRDefault="00B45C79">
            <w:pPr>
              <w:rPr>
                <w:b/>
                <w:sz w:val="24"/>
              </w:rPr>
            </w:pPr>
            <w:r>
              <w:rPr>
                <w:sz w:val="24"/>
              </w:rPr>
              <w:t>Appropriate vice president, provost, or designee reviews report, any rebuttal statements, determines whether to accept recommendations, and begins implementation.</w:t>
            </w:r>
          </w:p>
        </w:tc>
        <w:tc>
          <w:tcPr>
            <w:tcW w:w="3258" w:type="dxa"/>
          </w:tcPr>
          <w:p w:rsidR="00B45C79" w:rsidRDefault="00B45C79">
            <w:pPr>
              <w:jc w:val="center"/>
              <w:rPr>
                <w:sz w:val="24"/>
              </w:rPr>
            </w:pPr>
          </w:p>
          <w:p w:rsidR="00B45C79" w:rsidRDefault="00B45C79">
            <w:pPr>
              <w:jc w:val="center"/>
              <w:rPr>
                <w:sz w:val="24"/>
              </w:rPr>
            </w:pPr>
            <w:r>
              <w:rPr>
                <w:sz w:val="24"/>
              </w:rPr>
              <w:t>10 working days</w:t>
            </w:r>
          </w:p>
        </w:tc>
      </w:tr>
    </w:tbl>
    <w:p w:rsidR="00B45C79" w:rsidRDefault="00B45C79">
      <w:pPr>
        <w:rPr>
          <w:sz w:val="24"/>
        </w:rPr>
      </w:pPr>
    </w:p>
    <w:p w:rsidR="00B45C79" w:rsidRDefault="00B45C79">
      <w:pPr>
        <w:pStyle w:val="Heading1"/>
      </w:pPr>
      <w:r>
        <w:t>The Dispute Resolution Committee</w:t>
      </w:r>
    </w:p>
    <w:p w:rsidR="00B45C79" w:rsidRDefault="00B45C79">
      <w:pPr>
        <w:jc w:val="both"/>
        <w:rPr>
          <w:sz w:val="24"/>
        </w:rPr>
      </w:pPr>
      <w:r>
        <w:rPr>
          <w:sz w:val="24"/>
        </w:rPr>
        <w:t xml:space="preserve">The Dispute Resolution Committee is made up of representatives of academic administration, student life administration, human resources, and the faculty.  Most of the University’s grievance facilitators have completed 40 hours of formal training in mediation and have many years of experience in conflict resolution.  The Dispute Resolution Committee serves faculty, staff, administrators, and students – assisting those with concerns in addressing them expediently, equitably, confidentially, and at the lowest possible level of intervention. </w:t>
      </w:r>
    </w:p>
    <w:p w:rsidR="00B45C79" w:rsidRDefault="00B45C79">
      <w:pPr>
        <w:jc w:val="both"/>
        <w:rPr>
          <w:sz w:val="24"/>
        </w:rPr>
      </w:pPr>
    </w:p>
    <w:p w:rsidR="00B45C79" w:rsidRPr="00A64F17" w:rsidRDefault="00B45C79" w:rsidP="00A64F17">
      <w:pPr>
        <w:jc w:val="both"/>
        <w:rPr>
          <w:sz w:val="24"/>
        </w:rPr>
      </w:pPr>
      <w:r>
        <w:rPr>
          <w:sz w:val="24"/>
        </w:rPr>
        <w:t xml:space="preserve">Anyone on campus with a complaint may call any of the dispute resolution facilitators for an individual consultation.  In addition, Dispute Resolution Committee members are available to join departmental meetings to provide information about the resources available on campus for the effective resolution of differences.  </w:t>
      </w:r>
      <w:bookmarkStart w:id="0" w:name="_GoBack"/>
      <w:bookmarkEnd w:id="0"/>
    </w:p>
    <w:sectPr w:rsidR="00B45C79" w:rsidRPr="00A64F17">
      <w:headerReference w:type="default" r:id="rId7"/>
      <w:footerReference w:type="default" r:id="rId8"/>
      <w:headerReference w:type="first" r:id="rId9"/>
      <w:pgSz w:w="12240" w:h="15840" w:code="1"/>
      <w:pgMar w:top="1440"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987" w:rsidRDefault="003E1987">
      <w:r>
        <w:separator/>
      </w:r>
    </w:p>
  </w:endnote>
  <w:endnote w:type="continuationSeparator" w:id="0">
    <w:p w:rsidR="003E1987" w:rsidRDefault="003E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34" w:rsidRDefault="00826E34">
    <w:pPr>
      <w:pStyle w:val="Footer"/>
      <w:jc w:val="center"/>
      <w:rPr>
        <w:sz w:val="22"/>
      </w:rPr>
    </w:pPr>
    <w:r>
      <w:rP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2</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987" w:rsidRDefault="003E1987">
      <w:r>
        <w:separator/>
      </w:r>
    </w:p>
  </w:footnote>
  <w:footnote w:type="continuationSeparator" w:id="0">
    <w:p w:rsidR="003E1987" w:rsidRDefault="003E1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34" w:rsidRDefault="00826E34">
    <w:pPr>
      <w:pStyle w:val="Header"/>
    </w:pPr>
    <w:r>
      <w:rPr>
        <w:b/>
        <w:sz w:val="24"/>
      </w:rPr>
      <w:t xml:space="preserve">Resolving Disputes at PLU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34" w:rsidRDefault="00826E34">
    <w:pPr>
      <w:pStyle w:val="Header"/>
      <w:jc w:val="center"/>
      <w:rPr>
        <w:b/>
        <w:sz w:val="28"/>
        <w:u w:val="single"/>
      </w:rPr>
    </w:pPr>
    <w:r>
      <w:rPr>
        <w:b/>
        <w:sz w:val="28"/>
        <w:u w:val="single"/>
      </w:rPr>
      <w:t>RESOLVING DISPUTES AT PLU</w:t>
    </w:r>
  </w:p>
  <w:p w:rsidR="00826E34" w:rsidRDefault="00826E34">
    <w:pPr>
      <w:pStyle w:val="Header"/>
      <w:jc w:val="center"/>
      <w:rPr>
        <w:b/>
        <w:sz w:val="24"/>
      </w:rPr>
    </w:pPr>
    <w:r>
      <w:rPr>
        <w:b/>
        <w:sz w:val="24"/>
      </w:rPr>
      <w:t>PLU Dispute Resolution Overview</w:t>
    </w:r>
  </w:p>
  <w:p w:rsidR="00826E34" w:rsidRDefault="00826E34">
    <w:pPr>
      <w:pStyle w:val="Header"/>
      <w:jc w:val="center"/>
      <w:rPr>
        <w:b/>
        <w:sz w:val="28"/>
      </w:rPr>
    </w:pPr>
    <w:r>
      <w:rPr>
        <w:b/>
        <w:sz w:val="28"/>
      </w:rPr>
      <w:t>March 2006</w:t>
    </w:r>
  </w:p>
  <w:p w:rsidR="00826E34" w:rsidRDefault="00826E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5713E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15:restartNumberingAfterBreak="0">
    <w:nsid w:val="390F3F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D4"/>
    <w:rsid w:val="003E1987"/>
    <w:rsid w:val="00626D18"/>
    <w:rsid w:val="00826E34"/>
    <w:rsid w:val="00A64F17"/>
    <w:rsid w:val="00B45C79"/>
    <w:rsid w:val="00D200D4"/>
    <w:rsid w:val="00F3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4D28F"/>
  <w15:chartTrackingRefBased/>
  <w15:docId w15:val="{6DD6DBFE-F697-41CC-9B25-B80575AA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BalloonText">
    <w:name w:val="Balloon Text"/>
    <w:basedOn w:val="Normal"/>
    <w:semiHidden/>
    <w:rsid w:val="00F34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Informal Resolution</vt:lpstr>
    </vt:vector>
  </TitlesOfParts>
  <Company>Pacific Lutheran University</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Resolution</dc:title>
  <dc:subject/>
  <dc:creator>Micro Systems</dc:creator>
  <cp:keywords/>
  <cp:lastModifiedBy>Santiago, Emily A</cp:lastModifiedBy>
  <cp:revision>2</cp:revision>
  <cp:lastPrinted>1999-10-21T21:16:00Z</cp:lastPrinted>
  <dcterms:created xsi:type="dcterms:W3CDTF">2022-01-14T00:10:00Z</dcterms:created>
  <dcterms:modified xsi:type="dcterms:W3CDTF">2022-01-14T00:10:00Z</dcterms:modified>
</cp:coreProperties>
</file>